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365526F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3B2E2C0E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2E32FF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F72B2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2E32FF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C81C5B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06B48964" w:rsidR="005C2EC8" w:rsidRPr="00AB3E99" w:rsidRDefault="007901EC" w:rsidP="002E32FF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Тернопільській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2E32F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квітні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D602EB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7E452BAF" w:rsidR="005C2EC8" w:rsidRPr="002530AB" w:rsidRDefault="00CA0B17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D05DE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F6826AD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te</w:t>
            </w:r>
            <w:proofErr w:type="spellEnd"/>
            <w:r w:rsidR="00D05DEF" w:rsidRPr="00D05DE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1E75F83F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5F1A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te</w:t>
            </w:r>
            <w:proofErr w:type="spellEnd"/>
            <w:r w:rsidR="00AA5589" w:rsidRP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5FC520BE" w:rsidR="005C2EC8" w:rsidRPr="006A6382" w:rsidRDefault="005C2EC8" w:rsidP="006A6382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52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0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31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27003CB" w14:textId="77777777" w:rsidR="00FD01D8" w:rsidRDefault="00FD01D8" w:rsidP="00183730">
      <w:pPr>
        <w:pStyle w:val="--12"/>
      </w:pPr>
    </w:p>
    <w:p w14:paraId="0BBC5FBC" w14:textId="161AA085" w:rsidR="00183730" w:rsidRPr="002E32FF" w:rsidRDefault="00D05DEF" w:rsidP="00183730">
      <w:pPr>
        <w:pStyle w:val="--12"/>
      </w:pPr>
      <w:r w:rsidRPr="002E32FF">
        <w:t xml:space="preserve">Ціни на споживчому ринку області у </w:t>
      </w:r>
      <w:r w:rsidR="002E32FF" w:rsidRPr="002E32FF">
        <w:t>квітні</w:t>
      </w:r>
      <w:r w:rsidR="00D602EB" w:rsidRPr="002E32FF">
        <w:t xml:space="preserve"> 2026</w:t>
      </w:r>
      <w:r w:rsidRPr="002E32FF">
        <w:t xml:space="preserve">р. порівняно </w:t>
      </w:r>
      <w:r w:rsidRPr="002E32FF">
        <w:rPr>
          <w:color w:val="1F4E79" w:themeColor="accent5" w:themeShade="80"/>
        </w:rPr>
        <w:t xml:space="preserve">із </w:t>
      </w:r>
      <w:r w:rsidR="002E32FF" w:rsidRPr="002E32FF">
        <w:rPr>
          <w:color w:val="1F4E79" w:themeColor="accent5" w:themeShade="80"/>
        </w:rPr>
        <w:t>березнем</w:t>
      </w:r>
      <w:r w:rsidR="00D602EB" w:rsidRPr="002E32FF">
        <w:rPr>
          <w:color w:val="1F4E79" w:themeColor="accent5" w:themeShade="80"/>
        </w:rPr>
        <w:t xml:space="preserve"> 2026</w:t>
      </w:r>
      <w:r w:rsidRPr="002E32FF">
        <w:rPr>
          <w:color w:val="1F4E79" w:themeColor="accent5" w:themeShade="80"/>
        </w:rPr>
        <w:t xml:space="preserve">р. зросли на </w:t>
      </w:r>
      <w:r w:rsidR="00C75686" w:rsidRPr="002E32FF">
        <w:rPr>
          <w:color w:val="1F4E79" w:themeColor="accent5" w:themeShade="80"/>
        </w:rPr>
        <w:t>1,</w:t>
      </w:r>
      <w:r w:rsidR="002E32FF" w:rsidRPr="002E32FF">
        <w:rPr>
          <w:color w:val="1F4E79" w:themeColor="accent5" w:themeShade="80"/>
        </w:rPr>
        <w:t>3</w:t>
      </w:r>
      <w:r w:rsidRPr="002E32FF">
        <w:rPr>
          <w:color w:val="1F4E79" w:themeColor="accent5" w:themeShade="80"/>
        </w:rPr>
        <w:t xml:space="preserve">%, по Україні – на </w:t>
      </w:r>
      <w:r w:rsidR="00C75686" w:rsidRPr="002E32FF">
        <w:rPr>
          <w:color w:val="1F4E79" w:themeColor="accent5" w:themeShade="80"/>
        </w:rPr>
        <w:t>1</w:t>
      </w:r>
      <w:r w:rsidR="001B7167" w:rsidRPr="002E32FF">
        <w:rPr>
          <w:color w:val="1F4E79" w:themeColor="accent5" w:themeShade="80"/>
        </w:rPr>
        <w:t>,</w:t>
      </w:r>
      <w:r w:rsidR="002E32FF" w:rsidRPr="002E32FF">
        <w:rPr>
          <w:color w:val="1F4E79" w:themeColor="accent5" w:themeShade="80"/>
        </w:rPr>
        <w:t>4</w:t>
      </w:r>
      <w:r w:rsidRPr="002E32FF">
        <w:rPr>
          <w:color w:val="1F4E79" w:themeColor="accent5" w:themeShade="80"/>
        </w:rPr>
        <w:t xml:space="preserve">%, з початку року: по області – на </w:t>
      </w:r>
      <w:r w:rsidR="002E32FF" w:rsidRPr="002E32FF">
        <w:rPr>
          <w:color w:val="1F4E79" w:themeColor="accent5" w:themeShade="80"/>
        </w:rPr>
        <w:t>5</w:t>
      </w:r>
      <w:r w:rsidR="00A80D3E" w:rsidRPr="002E32FF">
        <w:rPr>
          <w:color w:val="1F4E79" w:themeColor="accent5" w:themeShade="80"/>
        </w:rPr>
        <w:t>,</w:t>
      </w:r>
      <w:r w:rsidR="002E32FF" w:rsidRPr="002E32FF">
        <w:rPr>
          <w:color w:val="1F4E79" w:themeColor="accent5" w:themeShade="80"/>
        </w:rPr>
        <w:t>2</w:t>
      </w:r>
      <w:r w:rsidRPr="002E32FF">
        <w:rPr>
          <w:color w:val="1F4E79" w:themeColor="accent5" w:themeShade="80"/>
        </w:rPr>
        <w:t xml:space="preserve">%, по Україні – на </w:t>
      </w:r>
      <w:r w:rsidR="002E32FF" w:rsidRPr="002E32FF">
        <w:rPr>
          <w:color w:val="1F4E79" w:themeColor="accent5" w:themeShade="80"/>
        </w:rPr>
        <w:t>4</w:t>
      </w:r>
      <w:r w:rsidR="008F19B2" w:rsidRPr="002E32FF">
        <w:rPr>
          <w:color w:val="1F4E79" w:themeColor="accent5" w:themeShade="80"/>
        </w:rPr>
        <w:t>,</w:t>
      </w:r>
      <w:r w:rsidR="002E32FF" w:rsidRPr="002E32FF">
        <w:rPr>
          <w:color w:val="1F4E79" w:themeColor="accent5" w:themeShade="80"/>
        </w:rPr>
        <w:t>9</w:t>
      </w:r>
      <w:r w:rsidR="001B7167" w:rsidRPr="002E32FF">
        <w:rPr>
          <w:color w:val="1F4E79" w:themeColor="accent5" w:themeShade="80"/>
        </w:rPr>
        <w:t>%</w:t>
      </w:r>
      <w:r w:rsidR="00183730" w:rsidRPr="002E32FF">
        <w:rPr>
          <w:color w:val="1F4E79" w:themeColor="accent5" w:themeShade="80"/>
        </w:rPr>
        <w:t>.</w:t>
      </w:r>
    </w:p>
    <w:p w14:paraId="54B171D5" w14:textId="77777777" w:rsidR="00183730" w:rsidRPr="002E32FF" w:rsidRDefault="00183730" w:rsidP="00183730">
      <w:pPr>
        <w:pStyle w:val="--12"/>
        <w:rPr>
          <w:sz w:val="10"/>
          <w:szCs w:val="12"/>
        </w:rPr>
      </w:pPr>
    </w:p>
    <w:p w14:paraId="5AEBD239" w14:textId="77777777" w:rsidR="00183730" w:rsidRPr="002E32FF" w:rsidRDefault="00183730" w:rsidP="00183730">
      <w:pPr>
        <w:pStyle w:val="--12"/>
        <w:ind w:firstLine="0"/>
        <w:rPr>
          <w:highlight w:val="yellow"/>
        </w:rPr>
      </w:pPr>
    </w:p>
    <w:p w14:paraId="1DEA26DA" w14:textId="77777777" w:rsidR="00183730" w:rsidRPr="002E32FF" w:rsidRDefault="00183730" w:rsidP="00183730">
      <w:pPr>
        <w:pStyle w:val="--12"/>
        <w:ind w:firstLine="0"/>
        <w:rPr>
          <w:sz w:val="16"/>
          <w:highlight w:val="yellow"/>
        </w:rPr>
      </w:pPr>
    </w:p>
    <w:p w14:paraId="1E4E2BCF" w14:textId="77777777" w:rsidR="00FD01D8" w:rsidRPr="002E32FF" w:rsidRDefault="00FD01D8" w:rsidP="00183730">
      <w:pPr>
        <w:pStyle w:val="--12"/>
        <w:ind w:firstLine="0"/>
        <w:rPr>
          <w:color w:val="1F4E79" w:themeColor="accent5" w:themeShade="80"/>
          <w:sz w:val="16"/>
          <w:highlight w:val="yellow"/>
        </w:rPr>
        <w:sectPr w:rsidR="00FD01D8" w:rsidRPr="002E32FF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Pr="00DB500C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DB500C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lastRenderedPageBreak/>
        <w:t xml:space="preserve">Зміни </w:t>
      </w:r>
      <w:r w:rsidR="00535837" w:rsidRPr="00DB500C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споживчих цін </w:t>
      </w:r>
    </w:p>
    <w:p w14:paraId="43CFB13D" w14:textId="11CF5C63" w:rsidR="0037204B" w:rsidRPr="00DB500C" w:rsidRDefault="0037204B" w:rsidP="0037204B">
      <w:pPr>
        <w:pStyle w:val="--12"/>
        <w:ind w:firstLine="0"/>
        <w:jc w:val="center"/>
        <w:rPr>
          <w:rFonts w:ascii="Calibri" w:hAnsi="Calibri" w:cs="Calibri"/>
          <w:b/>
          <w:color w:val="1F4E79" w:themeColor="accent5" w:themeShade="80"/>
          <w:szCs w:val="24"/>
        </w:rPr>
      </w:pPr>
      <w:r w:rsidRPr="00DB500C">
        <w:rPr>
          <w:rFonts w:ascii="Calibri" w:hAnsi="Calibri" w:cs="Calibri"/>
          <w:color w:val="1F4E79" w:themeColor="accent5" w:themeShade="80"/>
          <w:sz w:val="20"/>
          <w:szCs w:val="20"/>
        </w:rPr>
        <w:t>у % до попереднього місяця</w:t>
      </w:r>
    </w:p>
    <w:p w14:paraId="7380B74D" w14:textId="77777777" w:rsidR="0037204B" w:rsidRPr="00F830A8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F830A8">
        <w:rPr>
          <w:noProof/>
          <w:snapToGrid/>
          <w:color w:val="1F4E79" w:themeColor="accent5" w:themeShade="80"/>
          <w:lang w:eastAsia="uk-UA"/>
          <w14:ligatures w14:val="standardContextual"/>
        </w:rPr>
        <w:drawing>
          <wp:inline distT="0" distB="0" distL="0" distR="0" wp14:anchorId="3AB25410" wp14:editId="111866E9">
            <wp:extent cx="2857500" cy="19551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4FA767C3" w:rsidR="00BE70F0" w:rsidRPr="00F830A8" w:rsidRDefault="00BE70F0" w:rsidP="0037204B">
      <w:pPr>
        <w:pStyle w:val="--12"/>
        <w:ind w:firstLine="0"/>
        <w:jc w:val="center"/>
        <w:rPr>
          <w:b/>
          <w:color w:val="1F4E79" w:themeColor="accent5" w:themeShade="80"/>
        </w:rPr>
      </w:pPr>
      <w:r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lastRenderedPageBreak/>
        <w:t xml:space="preserve">Зміни </w:t>
      </w:r>
      <w:r w:rsidR="00535837"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споживчих </w:t>
      </w:r>
      <w:r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>цін</w:t>
      </w:r>
      <w:r w:rsidR="0087211E"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 у 202</w:t>
      </w:r>
      <w:r w:rsidR="00D602EB"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>6</w:t>
      </w:r>
      <w:r w:rsidR="0087211E"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t xml:space="preserve"> році</w:t>
      </w:r>
    </w:p>
    <w:p w14:paraId="142BC5D9" w14:textId="77777777" w:rsidR="001069E5" w:rsidRPr="00F830A8" w:rsidRDefault="00BE70F0" w:rsidP="0037204B">
      <w:pPr>
        <w:pStyle w:val="--12"/>
        <w:ind w:firstLine="0"/>
        <w:jc w:val="center"/>
        <w:rPr>
          <w:rFonts w:ascii="Calibri" w:hAnsi="Calibri" w:cs="Calibri"/>
          <w:color w:val="1F4E79" w:themeColor="accent5" w:themeShade="80"/>
          <w:sz w:val="20"/>
          <w:szCs w:val="20"/>
        </w:rPr>
      </w:pPr>
      <w:r w:rsidRPr="00F830A8">
        <w:rPr>
          <w:rFonts w:ascii="Calibri" w:hAnsi="Calibri" w:cs="Calibri"/>
          <w:color w:val="1F4E79" w:themeColor="accent5" w:themeShade="80"/>
          <w:sz w:val="20"/>
          <w:szCs w:val="20"/>
        </w:rPr>
        <w:t xml:space="preserve">у % до </w:t>
      </w:r>
      <w:r w:rsidR="00FB4166" w:rsidRPr="00F830A8">
        <w:rPr>
          <w:rFonts w:ascii="Calibri" w:hAnsi="Calibri" w:cs="Calibri"/>
          <w:color w:val="1F4E79" w:themeColor="accent5" w:themeShade="80"/>
          <w:sz w:val="20"/>
          <w:szCs w:val="20"/>
        </w:rPr>
        <w:t>грудня</w:t>
      </w:r>
      <w:r w:rsidRPr="00F830A8">
        <w:rPr>
          <w:rFonts w:ascii="Calibri" w:hAnsi="Calibri" w:cs="Calibri"/>
          <w:color w:val="1F4E79" w:themeColor="accent5" w:themeShade="80"/>
          <w:sz w:val="20"/>
          <w:szCs w:val="20"/>
        </w:rPr>
        <w:t xml:space="preserve"> попереднього року</w:t>
      </w:r>
    </w:p>
    <w:p w14:paraId="43BCBA0A" w14:textId="77777777" w:rsidR="0037204B" w:rsidRPr="00F830A8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F830A8">
        <w:rPr>
          <w:noProof/>
          <w:snapToGrid/>
          <w:color w:val="1F4E79" w:themeColor="accent5" w:themeShade="80"/>
          <w:lang w:eastAsia="uk-UA"/>
          <w14:ligatures w14:val="standardContextual"/>
        </w:rPr>
        <w:drawing>
          <wp:inline distT="0" distB="0" distL="0" distR="0" wp14:anchorId="1A1541AA" wp14:editId="47E39B04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Pr="00F830A8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sectPr w:rsidR="0037204B" w:rsidRPr="00F830A8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710DCA36" w:rsidR="001551BB" w:rsidRPr="00F830A8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</w:pPr>
      <w:r w:rsidRPr="00F830A8">
        <w:rPr>
          <w:rFonts w:ascii="Calibri" w:hAnsi="Calibri" w:cs="Calibri"/>
          <w:b/>
          <w:bCs/>
          <w:snapToGrid/>
          <w:color w:val="1F4E79" w:themeColor="accent5" w:themeShade="80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Pr="00F830A8" w:rsidRDefault="001551BB" w:rsidP="00464B9F">
      <w:pPr>
        <w:pStyle w:val="--12"/>
        <w:ind w:firstLine="0"/>
        <w:jc w:val="right"/>
        <w:rPr>
          <w:color w:val="1F4E79" w:themeColor="accent5" w:themeShade="80"/>
          <w:sz w:val="22"/>
          <w:szCs w:val="22"/>
        </w:rPr>
      </w:pPr>
      <w:r w:rsidRPr="00F830A8">
        <w:rPr>
          <w:color w:val="1F4E79" w:themeColor="accent5" w:themeShade="80"/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5A4327" w:rsidRPr="002E32F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Pr="002E32FF" w:rsidRDefault="00464B9F" w:rsidP="00464B9F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highlight w:val="yellow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0C40F474" w:rsidR="00464B9F" w:rsidRPr="002E32FF" w:rsidRDefault="003B3916" w:rsidP="00AD05D4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 w:rsidRPr="003B3916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Квітень</w:t>
            </w:r>
            <w:r w:rsidR="00AD05D4" w:rsidRPr="003B3916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</w:t>
            </w:r>
            <w:r w:rsidR="00D602EB" w:rsidRPr="003B3916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26</w:t>
            </w:r>
            <w:r w:rsidR="00464B9F" w:rsidRPr="003B3916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 xml:space="preserve"> до</w:t>
            </w:r>
          </w:p>
        </w:tc>
      </w:tr>
      <w:tr w:rsidR="005A4327" w:rsidRPr="002E32FF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Pr="002E32FF" w:rsidRDefault="00464B9F" w:rsidP="00464B9F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highlight w:val="yellow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0E6470C5" w:rsidR="00464B9F" w:rsidRPr="002E32FF" w:rsidRDefault="003B3916" w:rsidP="001202EF">
            <w:pPr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 w:rsidRPr="003B3916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березня</w:t>
            </w:r>
            <w:r w:rsidR="00D602EB" w:rsidRPr="003B3916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3F08C6B6" w:rsidR="00464B9F" w:rsidRPr="002E32FF" w:rsidRDefault="001202EF" w:rsidP="00464B9F">
            <w:pPr>
              <w:jc w:val="center"/>
              <w:rPr>
                <w:b/>
                <w:bCs/>
                <w:color w:val="1F4E79" w:themeColor="accent5" w:themeShade="80"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  <w:r w:rsidRPr="003B3916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г</w:t>
            </w:r>
            <w:r w:rsidR="00FD01D8" w:rsidRPr="003B3916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 xml:space="preserve">рудня </w:t>
            </w:r>
            <w:r w:rsidR="00D602EB" w:rsidRPr="003B3916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2025</w:t>
            </w:r>
          </w:p>
        </w:tc>
      </w:tr>
      <w:tr w:rsidR="005A4327" w:rsidRPr="002E32FF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Pr="003B42F4" w:rsidRDefault="00464B9F">
            <w:pPr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394847B0" w:rsidR="00464B9F" w:rsidRPr="003B42F4" w:rsidRDefault="000C109D" w:rsidP="00F830A8">
            <w:pPr>
              <w:ind w:left="113"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</w:t>
            </w:r>
            <w:r w:rsidR="00F830A8" w:rsidRPr="003B42F4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19D2AE84" w:rsidR="00464B9F" w:rsidRPr="003B42F4" w:rsidRDefault="00F830A8" w:rsidP="00AD05D4">
            <w:pPr>
              <w:ind w:left="113"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5,2</w:t>
            </w:r>
          </w:p>
        </w:tc>
      </w:tr>
      <w:tr w:rsidR="005A4327" w:rsidRPr="002E32FF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Pr="003B42F4" w:rsidRDefault="00464B9F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6BBBF2BE" w:rsidR="00464B9F" w:rsidRPr="003B42F4" w:rsidRDefault="000C109D" w:rsidP="00F830A8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</w:t>
            </w:r>
            <w:r w:rsidR="00F830A8" w:rsidRPr="003B42F4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5DB4C4EA" w:rsidR="00464B9F" w:rsidRPr="003B42F4" w:rsidRDefault="00F830A8" w:rsidP="00AD05D4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5,1</w:t>
            </w:r>
          </w:p>
        </w:tc>
      </w:tr>
      <w:tr w:rsidR="005A4327" w:rsidRPr="002E32FF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Pr="003B42F4" w:rsidRDefault="00464B9F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5BE7BB81" w:rsidR="00464B9F" w:rsidRPr="003B42F4" w:rsidRDefault="000C109D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</w:t>
            </w:r>
            <w:r w:rsidR="003B42F4"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01372259" w:rsidR="00464B9F" w:rsidRPr="003B42F4" w:rsidRDefault="003B42F4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4,9</w:t>
            </w:r>
          </w:p>
        </w:tc>
      </w:tr>
      <w:tr w:rsidR="005A4327" w:rsidRPr="002E32FF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37CE3F0B" w:rsidR="00464B9F" w:rsidRPr="0008690E" w:rsidRDefault="003B42F4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5,1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2981A2A9" w:rsidR="00464B9F" w:rsidRPr="003B42F4" w:rsidRDefault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10,9</w:t>
            </w:r>
          </w:p>
        </w:tc>
      </w:tr>
      <w:tr w:rsidR="005A4327" w:rsidRPr="002E32FF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4B9CDF20" w:rsidR="00464B9F" w:rsidRPr="0008690E" w:rsidRDefault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4,4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1E04B837" w:rsidR="00464B9F" w:rsidRPr="003B42F4" w:rsidRDefault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8,4</w:t>
            </w:r>
          </w:p>
        </w:tc>
      </w:tr>
      <w:tr w:rsidR="005A4327" w:rsidRPr="002E32FF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6733EF53" w:rsidR="00464B9F" w:rsidRPr="0008690E" w:rsidRDefault="00AD05D4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</w:t>
            </w:r>
            <w:r w:rsidR="003B42F4"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17396813" w:rsidR="00464B9F" w:rsidRPr="003B42F4" w:rsidRDefault="00C541C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7,4</w:t>
            </w:r>
          </w:p>
        </w:tc>
      </w:tr>
      <w:tr w:rsidR="005A4327" w:rsidRPr="002E32FF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51FF7DD2" w:rsidR="00464B9F" w:rsidRPr="0008690E" w:rsidRDefault="003B42F4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52705034" w:rsidR="00464B9F" w:rsidRPr="003B42F4" w:rsidRDefault="007A20F2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3B42F4"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3,</w:t>
            </w:r>
            <w:r w:rsidR="00AD05D4"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</w:t>
            </w:r>
          </w:p>
        </w:tc>
      </w:tr>
      <w:tr w:rsidR="005A4327" w:rsidRPr="002E32FF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56F19F19" w:rsidR="00464B9F" w:rsidRPr="0008690E" w:rsidRDefault="003B42F4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2D3C65C7" w:rsidR="00464B9F" w:rsidRPr="003B42F4" w:rsidRDefault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10,1</w:t>
            </w:r>
          </w:p>
        </w:tc>
      </w:tr>
      <w:tr w:rsidR="005A4327" w:rsidRPr="002E32FF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45BA8BA7" w:rsidR="00464B9F" w:rsidRPr="0008690E" w:rsidRDefault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43728449" w:rsidR="007A20F2" w:rsidRPr="003B42F4" w:rsidRDefault="003B42F4" w:rsidP="007A20F2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2,9</w:t>
            </w:r>
          </w:p>
        </w:tc>
      </w:tr>
      <w:tr w:rsidR="005A4327" w:rsidRPr="002E32FF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0C4A87AA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3DDD7865" w:rsidR="00464B9F" w:rsidRPr="0008690E" w:rsidRDefault="003B42F4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7A20F2"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</w:t>
            </w: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2C60C70D" w:rsidR="00464B9F" w:rsidRPr="003B42F4" w:rsidRDefault="003B42F4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AD05D4"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</w:t>
            </w: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</w:p>
        </w:tc>
      </w:tr>
      <w:tr w:rsidR="005A4327" w:rsidRPr="002E32FF" w14:paraId="66A9A71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7B959D14" w:rsidR="00464B9F" w:rsidRPr="0008690E" w:rsidRDefault="003B42F4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-8,6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47F6BD10" w:rsidR="00464B9F" w:rsidRPr="003B42F4" w:rsidRDefault="003B42F4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-5,4</w:t>
            </w:r>
          </w:p>
        </w:tc>
      </w:tr>
      <w:tr w:rsidR="005A4327" w:rsidRPr="002E32FF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3788CE4B" w:rsidR="00464B9F" w:rsidRPr="0008690E" w:rsidRDefault="003B42F4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-4,8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6AEBC87E" w:rsidR="00464B9F" w:rsidRPr="003B42F4" w:rsidRDefault="007A20F2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3B42F4"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6,5</w:t>
            </w:r>
          </w:p>
        </w:tc>
      </w:tr>
      <w:tr w:rsidR="005A4327" w:rsidRPr="002E32FF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6D572030" w:rsidR="00464B9F" w:rsidRPr="0008690E" w:rsidRDefault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7AB86A1E" w:rsidR="00464B9F" w:rsidRPr="003B42F4" w:rsidRDefault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11,6</w:t>
            </w:r>
          </w:p>
        </w:tc>
      </w:tr>
      <w:tr w:rsidR="005A4327" w:rsidRPr="002E32FF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7729B5A2" w:rsidR="00464B9F" w:rsidRPr="0008690E" w:rsidRDefault="003B42F4" w:rsidP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666F883A" w:rsidR="00464B9F" w:rsidRPr="003B42F4" w:rsidRDefault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13,5</w:t>
            </w:r>
          </w:p>
        </w:tc>
      </w:tr>
      <w:tr w:rsidR="005A4327" w:rsidRPr="002E32FF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Pr="003B42F4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638C6E64" w:rsidR="00464B9F" w:rsidRPr="0008690E" w:rsidRDefault="003B42F4" w:rsidP="007A20F2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-4,1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7F15F7A9" w:rsidR="00464B9F" w:rsidRPr="003B42F4" w:rsidRDefault="003B42F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3B42F4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26,5</w:t>
            </w:r>
          </w:p>
        </w:tc>
      </w:tr>
      <w:tr w:rsidR="005A4327" w:rsidRPr="002E32FF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Pr="004603B5" w:rsidRDefault="00464B9F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6EF94C67" w:rsidR="00464B9F" w:rsidRPr="0008690E" w:rsidRDefault="003B42F4" w:rsidP="00AD05D4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5,4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7155FA2B" w:rsidR="00464B9F" w:rsidRPr="004603B5" w:rsidRDefault="004603B5" w:rsidP="00C1769F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</w:tr>
      <w:tr w:rsidR="005A4327" w:rsidRPr="002E32FF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Pr="004603B5" w:rsidRDefault="00464B9F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05204A0F" w:rsidR="00464B9F" w:rsidRPr="0008690E" w:rsidRDefault="00D362C7" w:rsidP="00C1769F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8690E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21FAD935" w:rsidR="00464B9F" w:rsidRPr="004603B5" w:rsidRDefault="00D362C7" w:rsidP="00D362C7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6,7</w:t>
            </w:r>
          </w:p>
        </w:tc>
      </w:tr>
      <w:tr w:rsidR="00304125" w:rsidRPr="002E32FF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Pr="004603B5" w:rsidRDefault="00464B9F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1944CB79" w:rsidR="00464B9F" w:rsidRPr="004603B5" w:rsidRDefault="004603B5" w:rsidP="00C1769F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315C66F2" w:rsidR="00464B9F" w:rsidRPr="004603B5" w:rsidRDefault="004603B5" w:rsidP="00C1769F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603B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4,1</w:t>
            </w:r>
          </w:p>
        </w:tc>
      </w:tr>
      <w:tr w:rsidR="00304125" w:rsidRPr="002E32FF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Pr="004603B5" w:rsidRDefault="0037204B" w:rsidP="0037204B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35259C95" w:rsidR="0037204B" w:rsidRPr="004603B5" w:rsidRDefault="004603B5" w:rsidP="00C1769F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03FB4880" w:rsidR="0037204B" w:rsidRPr="004603B5" w:rsidRDefault="004603B5" w:rsidP="0037204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603B5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5,2</w:t>
            </w:r>
          </w:p>
        </w:tc>
      </w:tr>
      <w:tr w:rsidR="00304125" w:rsidRPr="002E32FF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Pr="004603B5" w:rsidRDefault="0037204B" w:rsidP="0037204B">
            <w:pPr>
              <w:ind w:left="227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0DF6C99E" w:rsidR="0037204B" w:rsidRPr="004603B5" w:rsidRDefault="004603B5" w:rsidP="0037204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-0,1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7C752390" w:rsidR="0037204B" w:rsidRPr="004603B5" w:rsidRDefault="00C1769F" w:rsidP="004603B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4,</w:t>
            </w:r>
            <w:r w:rsidR="004603B5"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</w:p>
        </w:tc>
      </w:tr>
      <w:tr w:rsidR="00304125" w:rsidRPr="002E32FF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Pr="004603B5" w:rsidRDefault="0037204B" w:rsidP="0037204B">
            <w:pPr>
              <w:ind w:left="227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03B5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67C5A0B7" w:rsidR="0037204B" w:rsidRPr="004603B5" w:rsidRDefault="004603B5" w:rsidP="0037204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-1,7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392ED280" w:rsidR="0037204B" w:rsidRPr="004603B5" w:rsidRDefault="004603B5" w:rsidP="0037204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7,2</w:t>
            </w:r>
          </w:p>
        </w:tc>
      </w:tr>
    </w:tbl>
    <w:p w14:paraId="64F95DAB" w14:textId="77777777" w:rsidR="00C203E8" w:rsidRPr="002E32FF" w:rsidRDefault="00C203E8" w:rsidP="0038775F">
      <w:pPr>
        <w:pStyle w:val="--12"/>
        <w:ind w:firstLine="0"/>
        <w:jc w:val="right"/>
        <w:rPr>
          <w:color w:val="1F4E79" w:themeColor="accent5" w:themeShade="80"/>
          <w:sz w:val="22"/>
          <w:szCs w:val="22"/>
          <w:highlight w:val="yellow"/>
        </w:rPr>
      </w:pPr>
    </w:p>
    <w:p w14:paraId="1090CCD5" w14:textId="77777777" w:rsidR="00FD01D8" w:rsidRPr="002E32FF" w:rsidRDefault="00FD01D8" w:rsidP="0038775F">
      <w:pPr>
        <w:pStyle w:val="--12"/>
        <w:ind w:firstLine="0"/>
        <w:jc w:val="right"/>
        <w:rPr>
          <w:color w:val="1F4E79" w:themeColor="accent5" w:themeShade="80"/>
          <w:sz w:val="22"/>
          <w:szCs w:val="22"/>
          <w:highlight w:val="yellow"/>
        </w:rPr>
      </w:pPr>
    </w:p>
    <w:p w14:paraId="3FFDA07F" w14:textId="6027767C" w:rsidR="001551BB" w:rsidRPr="002D511E" w:rsidRDefault="0038775F" w:rsidP="0038775F">
      <w:pPr>
        <w:pStyle w:val="--12"/>
        <w:ind w:firstLine="0"/>
        <w:jc w:val="right"/>
        <w:rPr>
          <w:color w:val="1F4E79" w:themeColor="accent5" w:themeShade="80"/>
        </w:rPr>
      </w:pPr>
      <w:r w:rsidRPr="002D511E">
        <w:rPr>
          <w:color w:val="1F4E79" w:themeColor="accent5" w:themeShade="80"/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304125" w:rsidRPr="002D511E" w14:paraId="7694EE4E" w14:textId="77777777" w:rsidTr="00D044E7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6C1E52" w:rsidRPr="002D511E" w:rsidRDefault="006C1E52" w:rsidP="006C1E52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5B84915F" w:rsidR="006C1E52" w:rsidRPr="002D511E" w:rsidRDefault="002D511E" w:rsidP="006C1E52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D511E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Квітень</w:t>
            </w:r>
            <w:r w:rsidR="00D602EB" w:rsidRPr="002D511E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  <w:r w:rsidR="006C1E52" w:rsidRPr="002D511E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 xml:space="preserve"> до</w:t>
            </w:r>
          </w:p>
        </w:tc>
      </w:tr>
      <w:tr w:rsidR="00304125" w:rsidRPr="002D511E" w14:paraId="1AF80AB7" w14:textId="77777777" w:rsidTr="0059115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6C1E52" w:rsidRPr="002D511E" w:rsidRDefault="006C1E52" w:rsidP="006C1E52">
            <w:pPr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380FF788" w14:textId="6693D49C" w:rsidR="006C1E52" w:rsidRPr="002D511E" w:rsidRDefault="002D511E" w:rsidP="006C1E52">
            <w:pPr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D511E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березня</w:t>
            </w:r>
            <w:r w:rsidR="00D602EB" w:rsidRPr="002D511E"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7C98EDB" w14:textId="3992DE84" w:rsidR="006C1E52" w:rsidRPr="002D511E" w:rsidRDefault="00D31F15" w:rsidP="006C1E52">
            <w:pPr>
              <w:jc w:val="center"/>
              <w:rPr>
                <w:rFonts w:ascii="Calibri" w:hAnsi="Calibri"/>
                <w:b/>
                <w:bCs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D511E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г</w:t>
            </w:r>
            <w:r w:rsidR="00D602EB" w:rsidRPr="002D511E">
              <w:rPr>
                <w:rFonts w:ascii="Calibri" w:hAnsi="Calibri" w:cs="Calibri"/>
                <w:b/>
                <w:bCs/>
                <w:snapToGrid w:val="0"/>
                <w:color w:val="1F4E79" w:themeColor="accent5" w:themeShade="80"/>
                <w:sz w:val="20"/>
                <w:szCs w:val="20"/>
              </w:rPr>
              <w:t>рудня 2025</w:t>
            </w:r>
          </w:p>
        </w:tc>
      </w:tr>
      <w:tr w:rsidR="00304125" w:rsidRPr="002E32FF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Pr="00C27E5F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61DE81BE" w:rsidR="00B128E5" w:rsidRPr="00C27E5F" w:rsidRDefault="0046567A" w:rsidP="00C27E5F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</w:t>
            </w:r>
            <w:r w:rsidR="00C27E5F" w:rsidRPr="00C27E5F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7A4100F1" w:rsidR="00B128E5" w:rsidRPr="00C27E5F" w:rsidRDefault="0046567A" w:rsidP="00C27E5F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27E5F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</w:t>
            </w:r>
            <w:r w:rsidR="00C27E5F" w:rsidRPr="00C27E5F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</w:tr>
      <w:tr w:rsidR="00304125" w:rsidRPr="002E32FF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3ED4383F" w:rsidR="00B128E5" w:rsidRPr="00C27E5F" w:rsidRDefault="0046567A" w:rsidP="00C27E5F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</w:t>
            </w:r>
            <w:r w:rsidR="00C27E5F"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08474D00" w:rsidR="00B128E5" w:rsidRPr="00C27E5F" w:rsidRDefault="00B04B6B" w:rsidP="00C27E5F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</w:t>
            </w:r>
            <w:r w:rsidR="00C27E5F"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</w:t>
            </w:r>
          </w:p>
        </w:tc>
      </w:tr>
      <w:tr w:rsidR="00304125" w:rsidRPr="002E32FF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5B5DFDF9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3FE51AF0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53474F17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71B20064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54C5F0C4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48B27388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01070A91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062D0E35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14,5</w:t>
            </w:r>
          </w:p>
        </w:tc>
      </w:tr>
      <w:tr w:rsidR="00304125" w:rsidRPr="002E32FF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0986BD35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111550D6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79CAED3F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78FC9588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Pr="00C27E5F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0D017A5F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0CC03AA6" w:rsidR="00B128E5" w:rsidRPr="00C27E5F" w:rsidRDefault="0046567A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27E5F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304125" w:rsidRPr="002E32FF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2AFB41E7" w:rsidR="00B128E5" w:rsidRPr="00854D0C" w:rsidRDefault="00D31F15" w:rsidP="00040208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  <w:r w:rsidR="00040208"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48C5693C" w:rsidR="00B128E5" w:rsidRPr="00854D0C" w:rsidRDefault="00D31F15" w:rsidP="00854D0C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B04B6B"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</w:t>
            </w:r>
            <w:r w:rsidR="00854D0C"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</w:tr>
      <w:tr w:rsidR="00304125" w:rsidRPr="002E32FF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508984E8" w:rsidR="00B128E5" w:rsidRPr="00854D0C" w:rsidRDefault="00B04B6B" w:rsidP="00854D0C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</w:t>
            </w:r>
            <w:r w:rsidR="00854D0C"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4DC263F7" w:rsidR="00B128E5" w:rsidRPr="00854D0C" w:rsidRDefault="00854D0C" w:rsidP="00B04B6B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304125" w:rsidRPr="002E32FF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128E5" w:rsidRPr="00854D0C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50577BA0" w:rsidR="00B128E5" w:rsidRPr="00854D0C" w:rsidRDefault="00854D0C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5ECA8ABF" w:rsidR="00B128E5" w:rsidRPr="00854D0C" w:rsidRDefault="0046567A" w:rsidP="00854D0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-2,</w:t>
            </w:r>
            <w:r w:rsidR="00854D0C"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</w:t>
            </w:r>
          </w:p>
        </w:tc>
      </w:tr>
      <w:tr w:rsidR="00304125" w:rsidRPr="002E32FF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Pr="00854D0C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0CB709BA" w:rsidR="00B128E5" w:rsidRPr="00854D0C" w:rsidRDefault="00854D0C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54DC004E" w:rsidR="00B128E5" w:rsidRPr="00854D0C" w:rsidRDefault="00854D0C" w:rsidP="00B04B6B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7,2</w:t>
            </w:r>
          </w:p>
        </w:tc>
      </w:tr>
      <w:tr w:rsidR="00304125" w:rsidRPr="002E32FF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23DF75E7" w:rsidR="00B128E5" w:rsidRPr="00854D0C" w:rsidRDefault="00854D0C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715CB065" w:rsidR="00B128E5" w:rsidRPr="00854D0C" w:rsidRDefault="00854D0C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17,0</w:t>
            </w:r>
          </w:p>
        </w:tc>
      </w:tr>
      <w:tr w:rsidR="00304125" w:rsidRPr="002E32FF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Pr="00854D0C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5DA3158C" w:rsidR="00B128E5" w:rsidRPr="00854D0C" w:rsidRDefault="00854D0C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11E38C4C" w:rsidR="00B128E5" w:rsidRPr="00854D0C" w:rsidRDefault="00854D0C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  <w:r w:rsidR="008F0FA7"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</w:tr>
      <w:tr w:rsidR="00304125" w:rsidRPr="002E32FF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Pr="00854D0C" w:rsidRDefault="00B128E5" w:rsidP="00B128E5">
            <w:pPr>
              <w:ind w:left="22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06EE65C2" w:rsidR="00B128E5" w:rsidRPr="00854D0C" w:rsidRDefault="00854D0C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7B290B7D" w:rsidR="00B128E5" w:rsidRPr="00854D0C" w:rsidRDefault="00854D0C" w:rsidP="008F0FA7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23,1</w:t>
            </w:r>
          </w:p>
        </w:tc>
      </w:tr>
      <w:tr w:rsidR="00304125" w:rsidRPr="002E32FF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Pr="00854D0C" w:rsidRDefault="00B128E5" w:rsidP="00B128E5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5F02B616" w:rsidR="00B128E5" w:rsidRPr="00854D0C" w:rsidRDefault="00854D0C" w:rsidP="008F0FA7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3DA19F07" w:rsidR="00B128E5" w:rsidRPr="00854D0C" w:rsidRDefault="00854D0C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8,7</w:t>
            </w:r>
          </w:p>
        </w:tc>
      </w:tr>
      <w:tr w:rsidR="00304125" w:rsidRPr="002E32FF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Pr="00854D0C" w:rsidRDefault="00B128E5" w:rsidP="00B128E5">
            <w:pPr>
              <w:ind w:left="397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564469E5" w:rsidR="00B128E5" w:rsidRPr="00854D0C" w:rsidRDefault="00854D0C" w:rsidP="00B128E5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6,9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23680BC2" w:rsidR="00B128E5" w:rsidRPr="00854D0C" w:rsidRDefault="00854D0C" w:rsidP="00854D0C">
            <w:pPr>
              <w:ind w:right="170"/>
              <w:jc w:val="right"/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24,</w:t>
            </w:r>
            <w:r w:rsidR="008F0FA7" w:rsidRPr="00854D0C">
              <w:rPr>
                <w:rFonts w:ascii="Calibri" w:hAnsi="Calibri"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5</w:t>
            </w:r>
          </w:p>
        </w:tc>
      </w:tr>
      <w:tr w:rsidR="00304125" w:rsidRPr="002E32FF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020EEC6A" w:rsidR="00B128E5" w:rsidRPr="00854D0C" w:rsidRDefault="00854D0C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69B43610" w:rsidR="00B128E5" w:rsidRPr="00854D0C" w:rsidRDefault="00854D0C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11,8</w:t>
            </w:r>
          </w:p>
        </w:tc>
      </w:tr>
      <w:tr w:rsidR="00304125" w:rsidRPr="002E32FF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0A37A0E2" w:rsidR="00B128E5" w:rsidRPr="00854D0C" w:rsidRDefault="00854D0C" w:rsidP="008F0FA7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5B85AAC1" w:rsidR="00B128E5" w:rsidRPr="00854D0C" w:rsidRDefault="00854D0C" w:rsidP="008F0FA7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3,3</w:t>
            </w:r>
          </w:p>
        </w:tc>
      </w:tr>
      <w:tr w:rsidR="00304125" w:rsidRPr="002E32FF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3E8098E5" w:rsidR="00B128E5" w:rsidRPr="00854D0C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6676564A" w:rsidR="00B128E5" w:rsidRPr="00854D0C" w:rsidRDefault="00DC1391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304125" w:rsidRPr="002E32FF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10776621" w:rsidR="00B128E5" w:rsidRPr="00854D0C" w:rsidRDefault="00854D0C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4,7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3F9970CE" w:rsidR="00B128E5" w:rsidRPr="00854D0C" w:rsidRDefault="00854D0C" w:rsidP="008F0FA7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8,8</w:t>
            </w:r>
          </w:p>
        </w:tc>
      </w:tr>
      <w:tr w:rsidR="00304125" w:rsidRPr="002E32FF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Pr="00854D0C" w:rsidRDefault="00B128E5" w:rsidP="00B128E5">
            <w:pPr>
              <w:ind w:left="113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7A7DFDF2" w:rsidR="00B128E5" w:rsidRPr="00854D0C" w:rsidRDefault="00854D0C" w:rsidP="00854D0C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32CFE6A7" w:rsidR="00B128E5" w:rsidRPr="00854D0C" w:rsidRDefault="008F0FA7" w:rsidP="00B128E5">
            <w:pPr>
              <w:ind w:right="170"/>
              <w:jc w:val="right"/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854D0C">
              <w:rPr>
                <w:rFonts w:ascii="Calibri" w:hAnsi="Calibri"/>
                <w:b/>
                <w:color w:val="1F4E79" w:themeColor="accent5" w:themeShade="80"/>
                <w:kern w:val="2"/>
                <w:sz w:val="20"/>
                <w:szCs w:val="20"/>
                <w:lang w:val="ru-RU" w:eastAsia="en-US"/>
                <w14:ligatures w14:val="standardContextual"/>
              </w:rPr>
              <w:t>7,9</w:t>
            </w:r>
          </w:p>
        </w:tc>
      </w:tr>
    </w:tbl>
    <w:p w14:paraId="0E04B9AA" w14:textId="77777777" w:rsidR="006E3757" w:rsidRPr="002E32FF" w:rsidRDefault="006E3757" w:rsidP="006E3757">
      <w:pPr>
        <w:spacing w:line="216" w:lineRule="auto"/>
        <w:rPr>
          <w:rFonts w:ascii="Calibri" w:hAnsi="Calibri" w:cs="Arial"/>
          <w:b/>
          <w:color w:val="1F4E79" w:themeColor="accent5" w:themeShade="80"/>
          <w:highlight w:val="yellow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304125" w:rsidRPr="00ED2E5C" w14:paraId="613197D9" w14:textId="77777777" w:rsidTr="008753CA">
        <w:tc>
          <w:tcPr>
            <w:tcW w:w="4890" w:type="dxa"/>
          </w:tcPr>
          <w:p w14:paraId="15414553" w14:textId="6BFF1C10" w:rsidR="00EF12EA" w:rsidRPr="002E32FF" w:rsidRDefault="00EF12EA" w:rsidP="0008690E">
            <w:pPr>
              <w:ind w:firstLine="567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</w:rPr>
            </w:pPr>
            <w:r w:rsidRPr="00D362C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На</w:t>
            </w:r>
            <w:r w:rsidRPr="00D362C7">
              <w:rPr>
                <w:rFonts w:ascii="Calibri" w:hAnsi="Calibri"/>
                <w:b/>
                <w:color w:val="1F4E79" w:themeColor="accent5" w:themeShade="80"/>
                <w:sz w:val="22"/>
                <w:szCs w:val="22"/>
              </w:rPr>
              <w:t xml:space="preserve"> </w:t>
            </w:r>
            <w:r w:rsidRPr="00D362C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споживчому ринку області </w:t>
            </w:r>
            <w:r w:rsidR="00DE1440" w:rsidRPr="00D362C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у</w:t>
            </w:r>
            <w:r w:rsidR="00D34864" w:rsidRPr="00D362C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D362C7" w:rsidRPr="00D362C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квітні</w:t>
            </w:r>
            <w:r w:rsidR="00D34864" w:rsidRPr="00D362C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Pr="00D362C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ціни на продукти харчування та безалкогольні напої зросли на </w:t>
            </w:r>
            <w:r w:rsidR="000C7EA7" w:rsidRPr="00D362C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1,</w:t>
            </w:r>
            <w:r w:rsidR="00D362C7" w:rsidRPr="00D362C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3</w:t>
            </w:r>
            <w:r w:rsidRPr="00D362C7">
              <w:rPr>
                <w:rFonts w:ascii="Calibri" w:hAnsi="Calibri"/>
                <w:color w:val="1F4E79" w:themeColor="accent5" w:themeShade="80"/>
                <w:sz w:val="22"/>
                <w:szCs w:val="22"/>
                <w:lang w:val="ru-RU"/>
              </w:rPr>
              <w:t>%</w:t>
            </w:r>
            <w:r w:rsidR="000D7C5A" w:rsidRPr="00D362C7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</w:t>
            </w:r>
            <w:r w:rsidR="000D7C5A"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Найбільше </w:t>
            </w:r>
            <w:r w:rsidR="007B6ED0"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(</w:t>
            </w:r>
            <w:r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4B6916"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12</w:t>
            </w:r>
            <w:r w:rsidR="00D34864"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4B6916"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0</w:t>
            </w:r>
            <w:r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5A342E"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)</w:t>
            </w:r>
            <w:r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подорожчали </w:t>
            </w:r>
            <w:r w:rsidR="004B6916"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продукти переробки зернових</w:t>
            </w:r>
            <w:r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На </w:t>
            </w:r>
            <w:r w:rsidR="004B6916"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5</w:t>
            </w:r>
            <w:r w:rsidR="00F771AE"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,4</w:t>
            </w:r>
            <w:r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–</w:t>
            </w:r>
            <w:r w:rsidR="00C6548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</w:t>
            </w:r>
            <w:r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C6548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</w:t>
            </w:r>
            <w:r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 зросли ціни</w:t>
            </w:r>
            <w:r w:rsidR="00F771AE"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0D7C5A"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4B6916" w:rsidRPr="004B6916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цукор, хліб</w:t>
            </w:r>
            <w:r w:rsidR="004B6916" w:rsidRPr="00BC40A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 рибу та продукти з риби,</w:t>
            </w:r>
            <w:r w:rsidR="00BC40A5" w:rsidRPr="00BC40A5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безалкогольні напої,</w:t>
            </w:r>
            <w:r w:rsidR="004B6916" w:rsidRPr="00BC40A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F771AE" w:rsidRPr="00BC40A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соняшникову олію,</w:t>
            </w:r>
            <w:r w:rsidR="000D7C5A" w:rsidRPr="00BC40A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BC40A5" w:rsidRPr="00BC40A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фрукти, макаронні в</w:t>
            </w:r>
            <w:r w:rsidR="00BC40A5" w:rsidRPr="00C6548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ироби,</w:t>
            </w:r>
            <w:r w:rsidR="00C65482" w:rsidRPr="00C65482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молоко</w:t>
            </w:r>
            <w:r w:rsidR="00C65482" w:rsidRPr="00C6548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BC40A5" w:rsidRPr="00C65482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C65482" w:rsidRPr="00C65482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>м’ясо та м’ясопродук</w:t>
            </w:r>
            <w:r w:rsidR="00C65482" w:rsidRPr="0008690E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>ти</w:t>
            </w:r>
            <w:r w:rsidR="00C65482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</w:t>
            </w:r>
            <w:r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Водночас </w:t>
            </w:r>
            <w:r w:rsidR="00B976B0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 </w:t>
            </w:r>
            <w:r w:rsidR="0008690E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8</w:t>
            </w:r>
            <w:r w:rsidR="00A45D90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08690E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6</w:t>
            </w:r>
            <w:r w:rsidR="003A454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08690E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подешевшали яйця, на 4,8</w:t>
            </w:r>
            <w:r w:rsidR="001A4DA0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–0,</w:t>
            </w:r>
            <w:r w:rsidR="0008690E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5</w:t>
            </w:r>
            <w:r w:rsidR="00B976B0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 </w:t>
            </w:r>
            <w:r w:rsidR="0028303B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знизилися ціни</w:t>
            </w:r>
            <w:r w:rsidR="000C7A50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</w:t>
            </w:r>
            <w:r w:rsidR="0008690E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масло,</w:t>
            </w:r>
            <w:r w:rsidR="0028303B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08690E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овочі</w:t>
            </w:r>
            <w:r w:rsidR="00A45D90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981045" w:rsidRPr="0008690E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08690E" w:rsidRPr="0008690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сири.</w:t>
            </w:r>
            <w:r w:rsidR="000D7C5A" w:rsidRPr="0008690E">
              <w:rPr>
                <w:rFonts w:ascii="Calibri" w:hAnsi="Calibri"/>
                <w:color w:val="1F4E79" w:themeColor="accent5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36EE3D64" w14:textId="77777777" w:rsidR="003F275B" w:rsidRDefault="003F275B" w:rsidP="00BF76DB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</w:rPr>
            </w:pPr>
          </w:p>
          <w:p w14:paraId="08D02F04" w14:textId="77777777" w:rsidR="00C95561" w:rsidRPr="002E32FF" w:rsidRDefault="00C95561" w:rsidP="00BF76DB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</w:rPr>
            </w:pPr>
          </w:p>
          <w:p w14:paraId="062F9D37" w14:textId="6674C928" w:rsidR="00F645EB" w:rsidRPr="00433840" w:rsidRDefault="00EF12EA" w:rsidP="00BF76DB">
            <w:pPr>
              <w:ind w:firstLine="601"/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C95561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Ціни на алкогольні 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напої та тютюнові вироби підвищилися на </w:t>
            </w:r>
            <w:r w:rsidR="00C95561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</w:t>
            </w:r>
            <w:r w:rsidR="00A33AD2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C95561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1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%, </w:t>
            </w:r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у </w:t>
            </w:r>
            <w:proofErr w:type="spellStart"/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т.ч</w:t>
            </w:r>
            <w:proofErr w:type="spellEnd"/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. на </w:t>
            </w:r>
            <w:r w:rsidR="00A33AD2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алкогольні</w:t>
            </w:r>
            <w:r w:rsidR="000E3605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напої</w:t>
            </w:r>
            <w:bookmarkStart w:id="1" w:name="_GoBack"/>
            <w:bookmarkEnd w:id="1"/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AC6B9E" w:rsidRPr="00E47DC9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 w:rsidR="00BE0933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на 1,5%</w:t>
            </w:r>
            <w:r w:rsidR="00AC6B9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E87B98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AC6B9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тютюнові</w:t>
            </w:r>
            <w:r w:rsidR="00B36EEA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вироб</w:t>
            </w:r>
            <w:r w:rsidR="00AC6B9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и –</w:t>
            </w:r>
            <w:r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на </w:t>
            </w:r>
            <w:r w:rsidR="00433840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0</w:t>
            </w:r>
            <w:r w:rsidR="00A33AD2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433840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7</w:t>
            </w:r>
            <w:r w:rsidR="00EA07BE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F645EB" w:rsidRPr="00433840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.</w:t>
            </w:r>
          </w:p>
          <w:p w14:paraId="46532B19" w14:textId="77777777" w:rsidR="003A2E2D" w:rsidRDefault="003A2E2D" w:rsidP="00273B54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</w:rPr>
            </w:pPr>
          </w:p>
          <w:p w14:paraId="35A86912" w14:textId="77777777" w:rsidR="00C95561" w:rsidRPr="00C9532E" w:rsidRDefault="00C95561" w:rsidP="00273B54">
            <w:pPr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</w:p>
          <w:p w14:paraId="19E14AAA" w14:textId="06E3F0A4" w:rsidR="003A2E2D" w:rsidRPr="00C9532E" w:rsidRDefault="001A4DA0" w:rsidP="00AC6B9E">
            <w:pPr>
              <w:ind w:firstLine="601"/>
              <w:jc w:val="both"/>
              <w:rPr>
                <w:rFonts w:asciiTheme="minorHAnsi" w:hAnsiTheme="minorHAnsi"/>
                <w:color w:val="1F4E79" w:themeColor="accent5" w:themeShade="80"/>
                <w:sz w:val="22"/>
                <w:szCs w:val="22"/>
                <w:lang w:val="ru-RU"/>
              </w:rPr>
            </w:pPr>
            <w:r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Ціни на транспорт зросли на </w:t>
            </w:r>
            <w:r w:rsidR="00C9532E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4</w:t>
            </w:r>
            <w:r w:rsidR="00A578FC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C9532E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7</w:t>
            </w:r>
            <w:r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% </w:t>
            </w:r>
            <w:r w:rsidR="00EA3F77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головним чином </w:t>
            </w:r>
            <w:r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через подорожчання </w:t>
            </w:r>
            <w:r w:rsidR="008C56F1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палива та мастил на </w:t>
            </w:r>
            <w:r w:rsidR="00C9532E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8</w:t>
            </w:r>
            <w:r w:rsidR="00EA3F77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,</w:t>
            </w:r>
            <w:r w:rsidR="00C9532E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3</w:t>
            </w:r>
            <w:r w:rsidR="008C56F1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%</w:t>
            </w:r>
            <w:r w:rsidR="004E1679" w:rsidRPr="00C9532E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</w:t>
            </w:r>
            <w:r w:rsidR="004E1679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 xml:space="preserve">і проїзду в автодорожньому </w:t>
            </w:r>
            <w:r w:rsidR="00930797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й</w:t>
            </w:r>
            <w:r w:rsidR="004E1679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 xml:space="preserve"> залізничному </w:t>
            </w:r>
            <w:r w:rsidR="00EB411A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 xml:space="preserve">пасажирському </w:t>
            </w:r>
            <w:r w:rsidR="004E1679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 xml:space="preserve">транспорті на </w:t>
            </w:r>
            <w:r w:rsidR="00C9532E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6</w:t>
            </w:r>
            <w:r w:rsidR="004E1679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,</w:t>
            </w:r>
            <w:r w:rsidR="00C9532E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9</w:t>
            </w:r>
            <w:r w:rsidR="004E1679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 xml:space="preserve">% і </w:t>
            </w:r>
            <w:r w:rsidR="00C9532E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1,4</w:t>
            </w:r>
            <w:r w:rsidR="004E1679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</w:rPr>
              <w:t>% відповідно.</w:t>
            </w:r>
            <w:r w:rsidR="004E1679" w:rsidRPr="00C9532E">
              <w:rPr>
                <w:rFonts w:asciiTheme="minorHAnsi" w:hAnsiTheme="minorHAns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  <w:p w14:paraId="1038F786" w14:textId="508AEDF7" w:rsidR="00DE1440" w:rsidRDefault="00DE1440" w:rsidP="00E918D3">
            <w:pPr>
              <w:tabs>
                <w:tab w:val="left" w:pos="612"/>
              </w:tabs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  <w:lang w:val="ru-RU"/>
              </w:rPr>
            </w:pPr>
          </w:p>
          <w:p w14:paraId="18D3AF5C" w14:textId="77777777" w:rsidR="00C95561" w:rsidRPr="002E32FF" w:rsidRDefault="00C95561" w:rsidP="00E918D3">
            <w:pPr>
              <w:tabs>
                <w:tab w:val="left" w:pos="612"/>
              </w:tabs>
              <w:jc w:val="both"/>
              <w:rPr>
                <w:rFonts w:ascii="Calibri" w:hAnsi="Calibri"/>
                <w:color w:val="1F4E79" w:themeColor="accent5" w:themeShade="80"/>
                <w:sz w:val="22"/>
                <w:szCs w:val="22"/>
                <w:highlight w:val="yellow"/>
                <w:lang w:val="ru-RU"/>
              </w:rPr>
            </w:pPr>
          </w:p>
          <w:p w14:paraId="015F9F8E" w14:textId="19D7B901" w:rsidR="00273B54" w:rsidRPr="002E32FF" w:rsidRDefault="00273B54" w:rsidP="00FC71C5">
            <w:pPr>
              <w:tabs>
                <w:tab w:val="left" w:pos="612"/>
              </w:tabs>
              <w:jc w:val="both"/>
              <w:rPr>
                <w:rFonts w:ascii="Calibri" w:hAnsi="Calibri"/>
                <w:i/>
                <w:iCs/>
                <w:color w:val="1F4E79" w:themeColor="accent5" w:themeShade="8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749" w:type="dxa"/>
          </w:tcPr>
          <w:p w14:paraId="4C78C4BB" w14:textId="77777777" w:rsidR="006E3757" w:rsidRPr="00ED2E5C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ED2E5C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ED2E5C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ED2E5C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noProof/>
                <w:color w:val="1F4E79" w:themeColor="accent5" w:themeShade="80"/>
                <w:lang w:eastAsia="uk-UA"/>
                <w14:ligatures w14:val="standardContextual"/>
              </w:rPr>
              <w:drawing>
                <wp:inline distT="0" distB="0" distL="0" distR="0" wp14:anchorId="04BCCE58" wp14:editId="605B8AE0">
                  <wp:extent cx="2847975" cy="1181100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ED2E5C" w:rsidRDefault="006E3757" w:rsidP="003A2E2D">
            <w:pPr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електроенергію,</w:t>
            </w: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  <w:lang w:val="ru-RU"/>
              </w:rPr>
              <w:t xml:space="preserve"> </w:t>
            </w: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D2E5C" w:rsidRDefault="006E3757" w:rsidP="003A2E2D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ED2E5C" w:rsidRDefault="00C203E8" w:rsidP="003A2E2D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noProof/>
                <w:color w:val="1F4E79" w:themeColor="accent5" w:themeShade="80"/>
                <w:lang w:eastAsia="uk-UA"/>
                <w14:ligatures w14:val="standardContextual"/>
              </w:rPr>
              <w:drawing>
                <wp:inline distT="0" distB="0" distL="0" distR="0" wp14:anchorId="7E5269AF" wp14:editId="32EB8D2D">
                  <wp:extent cx="2781300" cy="1082040"/>
                  <wp:effectExtent l="0" t="0" r="0" b="381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ED2E5C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b/>
                <w:color w:val="1F4E79" w:themeColor="accent5" w:themeShade="80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D2E5C" w:rsidRDefault="006E3757" w:rsidP="00E24775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ED2E5C" w:rsidRDefault="00C203E8" w:rsidP="00E24775">
            <w:pPr>
              <w:jc w:val="center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  <w:r w:rsidRPr="00ED2E5C">
              <w:rPr>
                <w:noProof/>
                <w:color w:val="1F4E79" w:themeColor="accent5" w:themeShade="80"/>
                <w:lang w:eastAsia="uk-UA"/>
                <w14:ligatures w14:val="standardContextual"/>
              </w:rPr>
              <w:drawing>
                <wp:inline distT="0" distB="0" distL="0" distR="0" wp14:anchorId="6BF2BC5B" wp14:editId="2DAB4CDE">
                  <wp:extent cx="2790825" cy="1101090"/>
                  <wp:effectExtent l="0" t="0" r="0" b="381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ED2E5C" w:rsidRDefault="006E3757" w:rsidP="006E3757">
            <w:pPr>
              <w:jc w:val="right"/>
              <w:rPr>
                <w:rFonts w:ascii="Calibri" w:hAnsi="Calibri" w:cs="Arial"/>
                <w:color w:val="1F4E79" w:themeColor="accent5" w:themeShade="80"/>
                <w:sz w:val="18"/>
                <w:szCs w:val="18"/>
              </w:rPr>
            </w:pPr>
          </w:p>
        </w:tc>
      </w:tr>
      <w:tr w:rsidR="006E3757" w:rsidRPr="002C0842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2C0842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2C0842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2C0842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2C0842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2C0842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2C0842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2C0842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842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2C0842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2C0842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2C0842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2C0842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2C0842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 w:rsidRPr="002C0842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 w:rsidRPr="002C0842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 w:rsidRPr="002C0842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2C0842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FA507B0" w14:textId="597945F3" w:rsidR="00246029" w:rsidRPr="002C0842" w:rsidRDefault="00612475" w:rsidP="00612475">
            <w:pPr>
              <w:rPr>
                <w:rFonts w:ascii="Calibri" w:hAnsi="Calibri"/>
                <w:color w:val="22517D"/>
                <w:sz w:val="22"/>
                <w:szCs w:val="22"/>
                <w:u w:val="single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r w:rsidRPr="002C0842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https://stat.gov.ua/sites/default/files/migration/files/2023/190_2023/190_2023.pdf</w:t>
            </w:r>
          </w:p>
          <w:p w14:paraId="7E9EBC46" w14:textId="225C07D4" w:rsidR="00612475" w:rsidRPr="002C0842" w:rsidRDefault="00612475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2C0842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2C0842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2C0842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2C0842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2C0842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2C0842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2C0842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Pr="002C0842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2C0842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Pr="002C0842" w:rsidRDefault="00183730" w:rsidP="00183730">
      <w:pPr>
        <w:pStyle w:val="--12"/>
        <w:ind w:firstLine="0"/>
      </w:pPr>
    </w:p>
    <w:p w14:paraId="301B055D" w14:textId="77777777" w:rsidR="00183730" w:rsidRPr="002C0842" w:rsidRDefault="00183730" w:rsidP="00183730">
      <w:pPr>
        <w:pStyle w:val="--12"/>
        <w:ind w:firstLine="0"/>
      </w:pPr>
    </w:p>
    <w:p w14:paraId="5E3C5936" w14:textId="77777777" w:rsidR="00183730" w:rsidRPr="002C0842" w:rsidRDefault="00183730" w:rsidP="00183730">
      <w:pPr>
        <w:pStyle w:val="--12"/>
        <w:ind w:firstLine="0"/>
      </w:pPr>
    </w:p>
    <w:p w14:paraId="728F4D6C" w14:textId="77777777" w:rsidR="00356050" w:rsidRPr="002C0842" w:rsidRDefault="00356050" w:rsidP="00183730">
      <w:pPr>
        <w:pStyle w:val="--12"/>
        <w:ind w:firstLine="0"/>
      </w:pPr>
    </w:p>
    <w:p w14:paraId="2DCEDADB" w14:textId="77777777" w:rsidR="00356050" w:rsidRPr="002C0842" w:rsidRDefault="00356050" w:rsidP="00183730">
      <w:pPr>
        <w:pStyle w:val="--12"/>
        <w:ind w:firstLine="0"/>
      </w:pPr>
    </w:p>
    <w:p w14:paraId="478D8CA1" w14:textId="77777777" w:rsidR="00356050" w:rsidRPr="002C0842" w:rsidRDefault="00356050" w:rsidP="00183730">
      <w:pPr>
        <w:pStyle w:val="--12"/>
        <w:ind w:firstLine="0"/>
      </w:pPr>
    </w:p>
    <w:p w14:paraId="7313A8CD" w14:textId="77777777" w:rsidR="00356050" w:rsidRPr="002C0842" w:rsidRDefault="00356050" w:rsidP="00183730">
      <w:pPr>
        <w:pStyle w:val="--12"/>
        <w:ind w:firstLine="0"/>
      </w:pPr>
    </w:p>
    <w:p w14:paraId="24E4BFBA" w14:textId="77777777" w:rsidR="00356050" w:rsidRPr="002C0842" w:rsidRDefault="00356050" w:rsidP="00183730">
      <w:pPr>
        <w:pStyle w:val="--12"/>
        <w:ind w:firstLine="0"/>
      </w:pPr>
    </w:p>
    <w:p w14:paraId="293DEABC" w14:textId="77777777" w:rsidR="00356050" w:rsidRPr="002C0842" w:rsidRDefault="00356050" w:rsidP="00356050">
      <w:pPr>
        <w:pStyle w:val="--12"/>
        <w:ind w:firstLine="0"/>
      </w:pPr>
    </w:p>
    <w:p w14:paraId="4762FA80" w14:textId="77777777" w:rsidR="00356050" w:rsidRPr="002C0842" w:rsidRDefault="00356050" w:rsidP="00356050">
      <w:pPr>
        <w:pStyle w:val="--12"/>
        <w:ind w:firstLine="0"/>
      </w:pPr>
    </w:p>
    <w:p w14:paraId="6D472E2D" w14:textId="77777777" w:rsidR="00356050" w:rsidRPr="002C0842" w:rsidRDefault="00356050" w:rsidP="00356050">
      <w:pPr>
        <w:pStyle w:val="--12"/>
        <w:ind w:firstLine="0"/>
      </w:pPr>
    </w:p>
    <w:p w14:paraId="242F080B" w14:textId="77777777" w:rsidR="00356050" w:rsidRPr="002C0842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0FF7F7D8" w:rsidR="00356050" w:rsidRPr="002C0842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0352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52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40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24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proofErr w:type="spellStart"/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  <w:lang w:val="en-US"/>
              </w:rPr>
              <w:t>ciny</w:t>
            </w:r>
            <w:proofErr w:type="spellEnd"/>
            <w:hyperlink r:id="rId27" w:history="1">
              <w:r w:rsidRPr="002C0842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@</w:t>
              </w:r>
              <w:r w:rsidR="00AA5589" w:rsidRPr="002C0842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te.ukrstat</w:t>
              </w:r>
              <w:r w:rsidRPr="002C0842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.gov.ua</w:t>
              </w:r>
            </w:hyperlink>
          </w:p>
          <w:p w14:paraId="64F92E3D" w14:textId="1F07D730" w:rsidR="00356050" w:rsidRPr="002C0842" w:rsidRDefault="00AA5589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Більше інформації: </w:t>
            </w:r>
            <w:hyperlink r:id="rId28" w:history="1">
              <w:r w:rsidRPr="002C0842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http://www.te.ukrstat.gov.ua/statinfoCT.html</w:t>
              </w:r>
            </w:hyperlink>
            <w:r w:rsidRPr="002C0842"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  <w:t xml:space="preserve"> </w:t>
            </w:r>
          </w:p>
          <w:p w14:paraId="5880B3D0" w14:textId="7B7EE08F" w:rsidR="00356050" w:rsidRPr="00356050" w:rsidRDefault="00356050" w:rsidP="00092387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© Г</w:t>
            </w:r>
            <w:r w:rsidR="00AA5589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оловне управління статистики у Тернопільській</w:t>
            </w:r>
            <w:r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області, 202</w:t>
            </w:r>
            <w:r w:rsidR="00092387" w:rsidRPr="002C0842">
              <w:rPr>
                <w:rFonts w:ascii="Calibri Light" w:hAnsi="Calibri Light" w:cs="Calibri Light"/>
                <w:color w:val="666666"/>
                <w:sz w:val="20"/>
                <w:szCs w:val="20"/>
              </w:rPr>
              <w:t>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B9919" w14:textId="77777777" w:rsidR="00F15B0E" w:rsidRDefault="00F15B0E" w:rsidP="005345A4">
      <w:r>
        <w:separator/>
      </w:r>
    </w:p>
  </w:endnote>
  <w:endnote w:type="continuationSeparator" w:id="0">
    <w:p w14:paraId="5B42C793" w14:textId="77777777" w:rsidR="00F15B0E" w:rsidRDefault="00F15B0E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0E3605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50301" w14:textId="77777777" w:rsidR="00F15B0E" w:rsidRDefault="00F15B0E" w:rsidP="005345A4">
      <w:r>
        <w:separator/>
      </w:r>
    </w:p>
  </w:footnote>
  <w:footnote w:type="continuationSeparator" w:id="0">
    <w:p w14:paraId="756DEB5A" w14:textId="77777777" w:rsidR="00F15B0E" w:rsidRDefault="00F15B0E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D09"/>
    <w:rsid w:val="00001F8D"/>
    <w:rsid w:val="000035CF"/>
    <w:rsid w:val="000044A0"/>
    <w:rsid w:val="00005F9C"/>
    <w:rsid w:val="000066C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0208"/>
    <w:rsid w:val="00041033"/>
    <w:rsid w:val="00041E05"/>
    <w:rsid w:val="00045C8C"/>
    <w:rsid w:val="00062027"/>
    <w:rsid w:val="00062038"/>
    <w:rsid w:val="00062D72"/>
    <w:rsid w:val="0006755C"/>
    <w:rsid w:val="0007552B"/>
    <w:rsid w:val="000802BE"/>
    <w:rsid w:val="00081F22"/>
    <w:rsid w:val="00083C4E"/>
    <w:rsid w:val="00083F17"/>
    <w:rsid w:val="00085165"/>
    <w:rsid w:val="0008554B"/>
    <w:rsid w:val="000865FC"/>
    <w:rsid w:val="0008690E"/>
    <w:rsid w:val="00086AAE"/>
    <w:rsid w:val="00090B54"/>
    <w:rsid w:val="000914E6"/>
    <w:rsid w:val="00092387"/>
    <w:rsid w:val="00093BA1"/>
    <w:rsid w:val="000978C4"/>
    <w:rsid w:val="000A1E70"/>
    <w:rsid w:val="000A2AAD"/>
    <w:rsid w:val="000A2EB3"/>
    <w:rsid w:val="000A489E"/>
    <w:rsid w:val="000A49C8"/>
    <w:rsid w:val="000A7C0C"/>
    <w:rsid w:val="000B2664"/>
    <w:rsid w:val="000B6D17"/>
    <w:rsid w:val="000C109D"/>
    <w:rsid w:val="000C2BAC"/>
    <w:rsid w:val="000C3140"/>
    <w:rsid w:val="000C43BC"/>
    <w:rsid w:val="000C747A"/>
    <w:rsid w:val="000C7974"/>
    <w:rsid w:val="000C7A50"/>
    <w:rsid w:val="000C7EA7"/>
    <w:rsid w:val="000D4C6A"/>
    <w:rsid w:val="000D5FBC"/>
    <w:rsid w:val="000D6D0E"/>
    <w:rsid w:val="000D7438"/>
    <w:rsid w:val="000D7C5A"/>
    <w:rsid w:val="000D7E5A"/>
    <w:rsid w:val="000D7EE3"/>
    <w:rsid w:val="000E0309"/>
    <w:rsid w:val="000E0CE2"/>
    <w:rsid w:val="000E3605"/>
    <w:rsid w:val="000E415D"/>
    <w:rsid w:val="000E5420"/>
    <w:rsid w:val="000E595B"/>
    <w:rsid w:val="000E6255"/>
    <w:rsid w:val="000E7921"/>
    <w:rsid w:val="000F04FD"/>
    <w:rsid w:val="000F08C6"/>
    <w:rsid w:val="000F38ED"/>
    <w:rsid w:val="000F5A68"/>
    <w:rsid w:val="000F62EB"/>
    <w:rsid w:val="000F715A"/>
    <w:rsid w:val="00101921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6968"/>
    <w:rsid w:val="001173DE"/>
    <w:rsid w:val="001202EF"/>
    <w:rsid w:val="001214FB"/>
    <w:rsid w:val="00126D73"/>
    <w:rsid w:val="00127DC4"/>
    <w:rsid w:val="0013244C"/>
    <w:rsid w:val="00133DF2"/>
    <w:rsid w:val="00134575"/>
    <w:rsid w:val="001347D1"/>
    <w:rsid w:val="00134917"/>
    <w:rsid w:val="00135436"/>
    <w:rsid w:val="001364F0"/>
    <w:rsid w:val="00140C2F"/>
    <w:rsid w:val="00150477"/>
    <w:rsid w:val="00150E83"/>
    <w:rsid w:val="00151C92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87B3C"/>
    <w:rsid w:val="001909B1"/>
    <w:rsid w:val="0019449F"/>
    <w:rsid w:val="001972A8"/>
    <w:rsid w:val="00197F57"/>
    <w:rsid w:val="001A05A7"/>
    <w:rsid w:val="001A3F59"/>
    <w:rsid w:val="001A4DA0"/>
    <w:rsid w:val="001B4503"/>
    <w:rsid w:val="001B6234"/>
    <w:rsid w:val="001B7167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00F2"/>
    <w:rsid w:val="001E1102"/>
    <w:rsid w:val="001E373A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18A1"/>
    <w:rsid w:val="00264AA0"/>
    <w:rsid w:val="00264E6D"/>
    <w:rsid w:val="00273B54"/>
    <w:rsid w:val="00275999"/>
    <w:rsid w:val="00275BFA"/>
    <w:rsid w:val="002823AD"/>
    <w:rsid w:val="0028302D"/>
    <w:rsid w:val="0028303B"/>
    <w:rsid w:val="0028317C"/>
    <w:rsid w:val="0028485E"/>
    <w:rsid w:val="00287D35"/>
    <w:rsid w:val="002922F3"/>
    <w:rsid w:val="0029251B"/>
    <w:rsid w:val="00294482"/>
    <w:rsid w:val="002A1436"/>
    <w:rsid w:val="002A1EEA"/>
    <w:rsid w:val="002A31AA"/>
    <w:rsid w:val="002A7545"/>
    <w:rsid w:val="002C0842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11E"/>
    <w:rsid w:val="002D538B"/>
    <w:rsid w:val="002E0A95"/>
    <w:rsid w:val="002E2E4B"/>
    <w:rsid w:val="002E31C8"/>
    <w:rsid w:val="002E32FF"/>
    <w:rsid w:val="002E5C22"/>
    <w:rsid w:val="002E65B7"/>
    <w:rsid w:val="002F06D7"/>
    <w:rsid w:val="002F1C34"/>
    <w:rsid w:val="002F1C69"/>
    <w:rsid w:val="002F4FA1"/>
    <w:rsid w:val="002F710E"/>
    <w:rsid w:val="002F7374"/>
    <w:rsid w:val="00303464"/>
    <w:rsid w:val="00304125"/>
    <w:rsid w:val="003062A4"/>
    <w:rsid w:val="0031286A"/>
    <w:rsid w:val="003138F7"/>
    <w:rsid w:val="003152F2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27F33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85"/>
    <w:rsid w:val="00396FFC"/>
    <w:rsid w:val="0039719D"/>
    <w:rsid w:val="003A1C17"/>
    <w:rsid w:val="003A2E2D"/>
    <w:rsid w:val="003A3A47"/>
    <w:rsid w:val="003A4545"/>
    <w:rsid w:val="003A4AC1"/>
    <w:rsid w:val="003A5546"/>
    <w:rsid w:val="003A7537"/>
    <w:rsid w:val="003B019E"/>
    <w:rsid w:val="003B0FED"/>
    <w:rsid w:val="003B1D10"/>
    <w:rsid w:val="003B2F85"/>
    <w:rsid w:val="003B3916"/>
    <w:rsid w:val="003B42F4"/>
    <w:rsid w:val="003B4878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D752E"/>
    <w:rsid w:val="003E2BEA"/>
    <w:rsid w:val="003E2F76"/>
    <w:rsid w:val="003E36DF"/>
    <w:rsid w:val="003E5A8D"/>
    <w:rsid w:val="003E7A35"/>
    <w:rsid w:val="003F219A"/>
    <w:rsid w:val="003F275B"/>
    <w:rsid w:val="003F72B2"/>
    <w:rsid w:val="003F7681"/>
    <w:rsid w:val="00401D3F"/>
    <w:rsid w:val="00402A46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3840"/>
    <w:rsid w:val="0043435C"/>
    <w:rsid w:val="00434505"/>
    <w:rsid w:val="00437149"/>
    <w:rsid w:val="00437E79"/>
    <w:rsid w:val="004412B9"/>
    <w:rsid w:val="004431A5"/>
    <w:rsid w:val="0044467E"/>
    <w:rsid w:val="00446B62"/>
    <w:rsid w:val="004474B5"/>
    <w:rsid w:val="004506F4"/>
    <w:rsid w:val="00450A8B"/>
    <w:rsid w:val="00452E6F"/>
    <w:rsid w:val="00453968"/>
    <w:rsid w:val="0045497D"/>
    <w:rsid w:val="00454F6A"/>
    <w:rsid w:val="00455B4B"/>
    <w:rsid w:val="00457160"/>
    <w:rsid w:val="00457B82"/>
    <w:rsid w:val="004603B5"/>
    <w:rsid w:val="004605E9"/>
    <w:rsid w:val="00463544"/>
    <w:rsid w:val="00464B9F"/>
    <w:rsid w:val="004650F4"/>
    <w:rsid w:val="0046567A"/>
    <w:rsid w:val="0046766F"/>
    <w:rsid w:val="00471705"/>
    <w:rsid w:val="0047250F"/>
    <w:rsid w:val="00472928"/>
    <w:rsid w:val="00476523"/>
    <w:rsid w:val="00476F0F"/>
    <w:rsid w:val="00477434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1D07"/>
    <w:rsid w:val="004B2535"/>
    <w:rsid w:val="004B348D"/>
    <w:rsid w:val="004B42C2"/>
    <w:rsid w:val="004B63B5"/>
    <w:rsid w:val="004B6916"/>
    <w:rsid w:val="004C0BE4"/>
    <w:rsid w:val="004C104B"/>
    <w:rsid w:val="004C5CAB"/>
    <w:rsid w:val="004C635E"/>
    <w:rsid w:val="004D19D0"/>
    <w:rsid w:val="004D1E8E"/>
    <w:rsid w:val="004D4FC9"/>
    <w:rsid w:val="004D51EB"/>
    <w:rsid w:val="004E1679"/>
    <w:rsid w:val="004E1916"/>
    <w:rsid w:val="004E2DB5"/>
    <w:rsid w:val="004E3384"/>
    <w:rsid w:val="004E655B"/>
    <w:rsid w:val="004F0AAE"/>
    <w:rsid w:val="004F0CCC"/>
    <w:rsid w:val="004F2129"/>
    <w:rsid w:val="004F6898"/>
    <w:rsid w:val="00501A9C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2F15"/>
    <w:rsid w:val="005345A4"/>
    <w:rsid w:val="005352F2"/>
    <w:rsid w:val="00535837"/>
    <w:rsid w:val="00535EE8"/>
    <w:rsid w:val="005376CF"/>
    <w:rsid w:val="00543644"/>
    <w:rsid w:val="00545A7F"/>
    <w:rsid w:val="005467D9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1EA9"/>
    <w:rsid w:val="00590EBA"/>
    <w:rsid w:val="00593E50"/>
    <w:rsid w:val="0059709F"/>
    <w:rsid w:val="00597A77"/>
    <w:rsid w:val="005A237D"/>
    <w:rsid w:val="005A2665"/>
    <w:rsid w:val="005A272A"/>
    <w:rsid w:val="005A33D3"/>
    <w:rsid w:val="005A342E"/>
    <w:rsid w:val="005A4327"/>
    <w:rsid w:val="005A520A"/>
    <w:rsid w:val="005A5323"/>
    <w:rsid w:val="005A7E9A"/>
    <w:rsid w:val="005B0CA6"/>
    <w:rsid w:val="005B25D2"/>
    <w:rsid w:val="005B38C8"/>
    <w:rsid w:val="005B4AA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078"/>
    <w:rsid w:val="005E77C4"/>
    <w:rsid w:val="005E7DF3"/>
    <w:rsid w:val="005F3CCA"/>
    <w:rsid w:val="005F59BA"/>
    <w:rsid w:val="005F62EB"/>
    <w:rsid w:val="00600EC5"/>
    <w:rsid w:val="006035D6"/>
    <w:rsid w:val="00603D32"/>
    <w:rsid w:val="006057B5"/>
    <w:rsid w:val="00611927"/>
    <w:rsid w:val="0061206A"/>
    <w:rsid w:val="00612475"/>
    <w:rsid w:val="00612DDA"/>
    <w:rsid w:val="00613FC2"/>
    <w:rsid w:val="00620AE7"/>
    <w:rsid w:val="00625F53"/>
    <w:rsid w:val="00626BC1"/>
    <w:rsid w:val="00627D64"/>
    <w:rsid w:val="00633A35"/>
    <w:rsid w:val="00636A5D"/>
    <w:rsid w:val="00641EE2"/>
    <w:rsid w:val="00642E53"/>
    <w:rsid w:val="006438DC"/>
    <w:rsid w:val="00651839"/>
    <w:rsid w:val="00653544"/>
    <w:rsid w:val="00656AB2"/>
    <w:rsid w:val="00663AD3"/>
    <w:rsid w:val="006643E9"/>
    <w:rsid w:val="0066610D"/>
    <w:rsid w:val="0067167D"/>
    <w:rsid w:val="00672227"/>
    <w:rsid w:val="0067354A"/>
    <w:rsid w:val="00680113"/>
    <w:rsid w:val="00680879"/>
    <w:rsid w:val="00680B3F"/>
    <w:rsid w:val="0068157D"/>
    <w:rsid w:val="006818A9"/>
    <w:rsid w:val="00686F7B"/>
    <w:rsid w:val="00687887"/>
    <w:rsid w:val="00693570"/>
    <w:rsid w:val="00693F3B"/>
    <w:rsid w:val="006A0065"/>
    <w:rsid w:val="006A0BAE"/>
    <w:rsid w:val="006A1EDB"/>
    <w:rsid w:val="006A36D6"/>
    <w:rsid w:val="006A3E63"/>
    <w:rsid w:val="006A435E"/>
    <w:rsid w:val="006A54EB"/>
    <w:rsid w:val="006A6382"/>
    <w:rsid w:val="006A6BE1"/>
    <w:rsid w:val="006A6F97"/>
    <w:rsid w:val="006B0D61"/>
    <w:rsid w:val="006B0E29"/>
    <w:rsid w:val="006B1144"/>
    <w:rsid w:val="006B3151"/>
    <w:rsid w:val="006B3971"/>
    <w:rsid w:val="006B6E31"/>
    <w:rsid w:val="006C1E52"/>
    <w:rsid w:val="006C27BC"/>
    <w:rsid w:val="006C3774"/>
    <w:rsid w:val="006C3B3C"/>
    <w:rsid w:val="006C779A"/>
    <w:rsid w:val="006D0034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2768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7281"/>
    <w:rsid w:val="00763A71"/>
    <w:rsid w:val="00766689"/>
    <w:rsid w:val="00766BC3"/>
    <w:rsid w:val="00766EC8"/>
    <w:rsid w:val="007671B2"/>
    <w:rsid w:val="00770F28"/>
    <w:rsid w:val="00776B29"/>
    <w:rsid w:val="0078111F"/>
    <w:rsid w:val="007818D2"/>
    <w:rsid w:val="007876BB"/>
    <w:rsid w:val="007901EC"/>
    <w:rsid w:val="007920ED"/>
    <w:rsid w:val="007952E7"/>
    <w:rsid w:val="00795BB0"/>
    <w:rsid w:val="007976C0"/>
    <w:rsid w:val="007A02B3"/>
    <w:rsid w:val="007A20F2"/>
    <w:rsid w:val="007B21AF"/>
    <w:rsid w:val="007B2A96"/>
    <w:rsid w:val="007B4B67"/>
    <w:rsid w:val="007B65F6"/>
    <w:rsid w:val="007B6ED0"/>
    <w:rsid w:val="007C35C2"/>
    <w:rsid w:val="007D1180"/>
    <w:rsid w:val="007D28EC"/>
    <w:rsid w:val="007D2E20"/>
    <w:rsid w:val="007D37B9"/>
    <w:rsid w:val="007D6DDA"/>
    <w:rsid w:val="007D79B0"/>
    <w:rsid w:val="007E0B9F"/>
    <w:rsid w:val="007E15B8"/>
    <w:rsid w:val="007E664D"/>
    <w:rsid w:val="007E67C0"/>
    <w:rsid w:val="007E7672"/>
    <w:rsid w:val="007F0B04"/>
    <w:rsid w:val="007F30C3"/>
    <w:rsid w:val="007F3AD6"/>
    <w:rsid w:val="007F44DA"/>
    <w:rsid w:val="007F485B"/>
    <w:rsid w:val="007F5741"/>
    <w:rsid w:val="007F6CC9"/>
    <w:rsid w:val="007F73CD"/>
    <w:rsid w:val="007F7E5C"/>
    <w:rsid w:val="00805354"/>
    <w:rsid w:val="008061C2"/>
    <w:rsid w:val="00810682"/>
    <w:rsid w:val="00812C64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4D"/>
    <w:rsid w:val="00833CA1"/>
    <w:rsid w:val="00836B25"/>
    <w:rsid w:val="00837295"/>
    <w:rsid w:val="0083740E"/>
    <w:rsid w:val="00845288"/>
    <w:rsid w:val="00845C42"/>
    <w:rsid w:val="00845F0B"/>
    <w:rsid w:val="00846343"/>
    <w:rsid w:val="00846649"/>
    <w:rsid w:val="00846C6B"/>
    <w:rsid w:val="00854D0C"/>
    <w:rsid w:val="00854F1C"/>
    <w:rsid w:val="008571A5"/>
    <w:rsid w:val="0085736A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2D9F"/>
    <w:rsid w:val="00887457"/>
    <w:rsid w:val="008904AB"/>
    <w:rsid w:val="0089269E"/>
    <w:rsid w:val="00893415"/>
    <w:rsid w:val="00893E9F"/>
    <w:rsid w:val="0089635B"/>
    <w:rsid w:val="008966E2"/>
    <w:rsid w:val="0089728C"/>
    <w:rsid w:val="008A092E"/>
    <w:rsid w:val="008A20F4"/>
    <w:rsid w:val="008A2160"/>
    <w:rsid w:val="008A4346"/>
    <w:rsid w:val="008B2BAA"/>
    <w:rsid w:val="008B4265"/>
    <w:rsid w:val="008B580D"/>
    <w:rsid w:val="008B5852"/>
    <w:rsid w:val="008B7E7B"/>
    <w:rsid w:val="008C24EB"/>
    <w:rsid w:val="008C56F1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0FA7"/>
    <w:rsid w:val="008F1805"/>
    <w:rsid w:val="008F19B2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1C76"/>
    <w:rsid w:val="009222FD"/>
    <w:rsid w:val="00922558"/>
    <w:rsid w:val="00923776"/>
    <w:rsid w:val="009239BB"/>
    <w:rsid w:val="00925137"/>
    <w:rsid w:val="0092544E"/>
    <w:rsid w:val="00925967"/>
    <w:rsid w:val="00927D36"/>
    <w:rsid w:val="00930797"/>
    <w:rsid w:val="00936FEA"/>
    <w:rsid w:val="009408B4"/>
    <w:rsid w:val="00942DE9"/>
    <w:rsid w:val="00944162"/>
    <w:rsid w:val="009442C3"/>
    <w:rsid w:val="00944304"/>
    <w:rsid w:val="00947153"/>
    <w:rsid w:val="00951A2E"/>
    <w:rsid w:val="00956B6E"/>
    <w:rsid w:val="00957312"/>
    <w:rsid w:val="00962681"/>
    <w:rsid w:val="009628BA"/>
    <w:rsid w:val="00963277"/>
    <w:rsid w:val="00964901"/>
    <w:rsid w:val="00970417"/>
    <w:rsid w:val="0097068B"/>
    <w:rsid w:val="00971AEF"/>
    <w:rsid w:val="009726BA"/>
    <w:rsid w:val="009735A7"/>
    <w:rsid w:val="00981045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5163"/>
    <w:rsid w:val="009B1DA0"/>
    <w:rsid w:val="009B43E2"/>
    <w:rsid w:val="009B503C"/>
    <w:rsid w:val="009B7363"/>
    <w:rsid w:val="009B7898"/>
    <w:rsid w:val="009C119B"/>
    <w:rsid w:val="009C4056"/>
    <w:rsid w:val="009C6B1C"/>
    <w:rsid w:val="009D11D7"/>
    <w:rsid w:val="009D395D"/>
    <w:rsid w:val="009D4F13"/>
    <w:rsid w:val="009D6608"/>
    <w:rsid w:val="009D786F"/>
    <w:rsid w:val="009D7C33"/>
    <w:rsid w:val="009E1E14"/>
    <w:rsid w:val="009F1643"/>
    <w:rsid w:val="009F1BC9"/>
    <w:rsid w:val="009F7EBB"/>
    <w:rsid w:val="00A018EB"/>
    <w:rsid w:val="00A02EA0"/>
    <w:rsid w:val="00A03D04"/>
    <w:rsid w:val="00A101EF"/>
    <w:rsid w:val="00A10490"/>
    <w:rsid w:val="00A10657"/>
    <w:rsid w:val="00A1344D"/>
    <w:rsid w:val="00A20104"/>
    <w:rsid w:val="00A2296B"/>
    <w:rsid w:val="00A2345E"/>
    <w:rsid w:val="00A2482D"/>
    <w:rsid w:val="00A27802"/>
    <w:rsid w:val="00A3186C"/>
    <w:rsid w:val="00A33250"/>
    <w:rsid w:val="00A33AD2"/>
    <w:rsid w:val="00A33BCD"/>
    <w:rsid w:val="00A34606"/>
    <w:rsid w:val="00A34A9C"/>
    <w:rsid w:val="00A35E89"/>
    <w:rsid w:val="00A36402"/>
    <w:rsid w:val="00A405C3"/>
    <w:rsid w:val="00A40DDB"/>
    <w:rsid w:val="00A425F0"/>
    <w:rsid w:val="00A43D74"/>
    <w:rsid w:val="00A45D90"/>
    <w:rsid w:val="00A516C5"/>
    <w:rsid w:val="00A52914"/>
    <w:rsid w:val="00A53909"/>
    <w:rsid w:val="00A54514"/>
    <w:rsid w:val="00A56C6B"/>
    <w:rsid w:val="00A578FC"/>
    <w:rsid w:val="00A6214C"/>
    <w:rsid w:val="00A64F1A"/>
    <w:rsid w:val="00A66B72"/>
    <w:rsid w:val="00A67BF6"/>
    <w:rsid w:val="00A745A7"/>
    <w:rsid w:val="00A761E9"/>
    <w:rsid w:val="00A80D3E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589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C6B9E"/>
    <w:rsid w:val="00AD05D4"/>
    <w:rsid w:val="00AD071B"/>
    <w:rsid w:val="00AD3F54"/>
    <w:rsid w:val="00AD5329"/>
    <w:rsid w:val="00AD7A18"/>
    <w:rsid w:val="00AE1434"/>
    <w:rsid w:val="00AE18BE"/>
    <w:rsid w:val="00AE3AF4"/>
    <w:rsid w:val="00AE5008"/>
    <w:rsid w:val="00AE75DF"/>
    <w:rsid w:val="00AF3AEE"/>
    <w:rsid w:val="00AF4992"/>
    <w:rsid w:val="00AF4A82"/>
    <w:rsid w:val="00AF5556"/>
    <w:rsid w:val="00AF6861"/>
    <w:rsid w:val="00B04B6B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EEA"/>
    <w:rsid w:val="00B36F44"/>
    <w:rsid w:val="00B4144A"/>
    <w:rsid w:val="00B42D27"/>
    <w:rsid w:val="00B42E23"/>
    <w:rsid w:val="00B43337"/>
    <w:rsid w:val="00B464AE"/>
    <w:rsid w:val="00B536B1"/>
    <w:rsid w:val="00B54D2E"/>
    <w:rsid w:val="00B55C22"/>
    <w:rsid w:val="00B55D75"/>
    <w:rsid w:val="00B56386"/>
    <w:rsid w:val="00B56728"/>
    <w:rsid w:val="00B56EA6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9FC"/>
    <w:rsid w:val="00B92EB6"/>
    <w:rsid w:val="00B9457F"/>
    <w:rsid w:val="00B958CA"/>
    <w:rsid w:val="00B9620F"/>
    <w:rsid w:val="00B976B0"/>
    <w:rsid w:val="00BA0DAC"/>
    <w:rsid w:val="00BA1E12"/>
    <w:rsid w:val="00BA333F"/>
    <w:rsid w:val="00BA3D5E"/>
    <w:rsid w:val="00BA5516"/>
    <w:rsid w:val="00BA75C3"/>
    <w:rsid w:val="00BB3F8D"/>
    <w:rsid w:val="00BB458E"/>
    <w:rsid w:val="00BB6E4A"/>
    <w:rsid w:val="00BB6EA4"/>
    <w:rsid w:val="00BC08AA"/>
    <w:rsid w:val="00BC40A5"/>
    <w:rsid w:val="00BC4175"/>
    <w:rsid w:val="00BC5429"/>
    <w:rsid w:val="00BC5DB4"/>
    <w:rsid w:val="00BC6566"/>
    <w:rsid w:val="00BE0933"/>
    <w:rsid w:val="00BE0C4A"/>
    <w:rsid w:val="00BE344F"/>
    <w:rsid w:val="00BE47D5"/>
    <w:rsid w:val="00BE70F0"/>
    <w:rsid w:val="00BE7BAC"/>
    <w:rsid w:val="00BF0B0D"/>
    <w:rsid w:val="00BF40BE"/>
    <w:rsid w:val="00BF76DB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1769F"/>
    <w:rsid w:val="00C2005D"/>
    <w:rsid w:val="00C20120"/>
    <w:rsid w:val="00C203E8"/>
    <w:rsid w:val="00C203EC"/>
    <w:rsid w:val="00C25704"/>
    <w:rsid w:val="00C273F6"/>
    <w:rsid w:val="00C27E5F"/>
    <w:rsid w:val="00C31763"/>
    <w:rsid w:val="00C321E9"/>
    <w:rsid w:val="00C3241A"/>
    <w:rsid w:val="00C32651"/>
    <w:rsid w:val="00C33038"/>
    <w:rsid w:val="00C35588"/>
    <w:rsid w:val="00C368D5"/>
    <w:rsid w:val="00C411E9"/>
    <w:rsid w:val="00C439C2"/>
    <w:rsid w:val="00C44E00"/>
    <w:rsid w:val="00C541CC"/>
    <w:rsid w:val="00C5570B"/>
    <w:rsid w:val="00C557C9"/>
    <w:rsid w:val="00C55F91"/>
    <w:rsid w:val="00C57848"/>
    <w:rsid w:val="00C6243C"/>
    <w:rsid w:val="00C6318A"/>
    <w:rsid w:val="00C65482"/>
    <w:rsid w:val="00C66A28"/>
    <w:rsid w:val="00C66BCC"/>
    <w:rsid w:val="00C7234C"/>
    <w:rsid w:val="00C72B29"/>
    <w:rsid w:val="00C74A86"/>
    <w:rsid w:val="00C75686"/>
    <w:rsid w:val="00C76A1D"/>
    <w:rsid w:val="00C76D8D"/>
    <w:rsid w:val="00C7717E"/>
    <w:rsid w:val="00C77237"/>
    <w:rsid w:val="00C80DA8"/>
    <w:rsid w:val="00C80EAA"/>
    <w:rsid w:val="00C817B1"/>
    <w:rsid w:val="00C81C5B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32E"/>
    <w:rsid w:val="00C95561"/>
    <w:rsid w:val="00C9581C"/>
    <w:rsid w:val="00CA0B17"/>
    <w:rsid w:val="00CA0CDA"/>
    <w:rsid w:val="00CA0E0C"/>
    <w:rsid w:val="00CA306A"/>
    <w:rsid w:val="00CA590E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6174"/>
    <w:rsid w:val="00CC7D42"/>
    <w:rsid w:val="00CD00ED"/>
    <w:rsid w:val="00CD7CFB"/>
    <w:rsid w:val="00CE0645"/>
    <w:rsid w:val="00CE1237"/>
    <w:rsid w:val="00CE2985"/>
    <w:rsid w:val="00CE2E69"/>
    <w:rsid w:val="00CE3DA8"/>
    <w:rsid w:val="00CE6611"/>
    <w:rsid w:val="00CE68D9"/>
    <w:rsid w:val="00CE6918"/>
    <w:rsid w:val="00CF2955"/>
    <w:rsid w:val="00D02A57"/>
    <w:rsid w:val="00D05C36"/>
    <w:rsid w:val="00D05DEF"/>
    <w:rsid w:val="00D11859"/>
    <w:rsid w:val="00D12CC7"/>
    <w:rsid w:val="00D13457"/>
    <w:rsid w:val="00D13784"/>
    <w:rsid w:val="00D13BC4"/>
    <w:rsid w:val="00D1568E"/>
    <w:rsid w:val="00D158AB"/>
    <w:rsid w:val="00D179C9"/>
    <w:rsid w:val="00D2068A"/>
    <w:rsid w:val="00D20B3F"/>
    <w:rsid w:val="00D21038"/>
    <w:rsid w:val="00D25EC4"/>
    <w:rsid w:val="00D26101"/>
    <w:rsid w:val="00D31F15"/>
    <w:rsid w:val="00D32DA1"/>
    <w:rsid w:val="00D343A6"/>
    <w:rsid w:val="00D34864"/>
    <w:rsid w:val="00D3532A"/>
    <w:rsid w:val="00D3564B"/>
    <w:rsid w:val="00D362C7"/>
    <w:rsid w:val="00D3686E"/>
    <w:rsid w:val="00D43946"/>
    <w:rsid w:val="00D43A9C"/>
    <w:rsid w:val="00D448B4"/>
    <w:rsid w:val="00D46F8B"/>
    <w:rsid w:val="00D52248"/>
    <w:rsid w:val="00D52438"/>
    <w:rsid w:val="00D5244A"/>
    <w:rsid w:val="00D53EC7"/>
    <w:rsid w:val="00D568AB"/>
    <w:rsid w:val="00D576DF"/>
    <w:rsid w:val="00D602EB"/>
    <w:rsid w:val="00D617F7"/>
    <w:rsid w:val="00D63B4B"/>
    <w:rsid w:val="00D64D42"/>
    <w:rsid w:val="00D662EB"/>
    <w:rsid w:val="00D7190A"/>
    <w:rsid w:val="00D71ED1"/>
    <w:rsid w:val="00D72702"/>
    <w:rsid w:val="00D7555B"/>
    <w:rsid w:val="00D75CD6"/>
    <w:rsid w:val="00D75EC3"/>
    <w:rsid w:val="00D80590"/>
    <w:rsid w:val="00D80D07"/>
    <w:rsid w:val="00D86D05"/>
    <w:rsid w:val="00D92E4D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500C"/>
    <w:rsid w:val="00DB7F5D"/>
    <w:rsid w:val="00DC0D1A"/>
    <w:rsid w:val="00DC1391"/>
    <w:rsid w:val="00DC21DF"/>
    <w:rsid w:val="00DC311B"/>
    <w:rsid w:val="00DC3362"/>
    <w:rsid w:val="00DC4341"/>
    <w:rsid w:val="00DC4F2A"/>
    <w:rsid w:val="00DD073A"/>
    <w:rsid w:val="00DD0EE9"/>
    <w:rsid w:val="00DD138A"/>
    <w:rsid w:val="00DD1D01"/>
    <w:rsid w:val="00DD373D"/>
    <w:rsid w:val="00DE1440"/>
    <w:rsid w:val="00DE1576"/>
    <w:rsid w:val="00DE1D62"/>
    <w:rsid w:val="00DE24CB"/>
    <w:rsid w:val="00DE34BD"/>
    <w:rsid w:val="00DE4DC5"/>
    <w:rsid w:val="00DE54B1"/>
    <w:rsid w:val="00DE5F1A"/>
    <w:rsid w:val="00DE60A2"/>
    <w:rsid w:val="00DF00E6"/>
    <w:rsid w:val="00DF0E32"/>
    <w:rsid w:val="00DF1856"/>
    <w:rsid w:val="00DF337B"/>
    <w:rsid w:val="00DF3C19"/>
    <w:rsid w:val="00E02D0D"/>
    <w:rsid w:val="00E052DA"/>
    <w:rsid w:val="00E07E7C"/>
    <w:rsid w:val="00E116C1"/>
    <w:rsid w:val="00E14E96"/>
    <w:rsid w:val="00E15577"/>
    <w:rsid w:val="00E165EE"/>
    <w:rsid w:val="00E20398"/>
    <w:rsid w:val="00E21352"/>
    <w:rsid w:val="00E2356A"/>
    <w:rsid w:val="00E24775"/>
    <w:rsid w:val="00E27651"/>
    <w:rsid w:val="00E3733F"/>
    <w:rsid w:val="00E37B35"/>
    <w:rsid w:val="00E40CFC"/>
    <w:rsid w:val="00E42236"/>
    <w:rsid w:val="00E45D5E"/>
    <w:rsid w:val="00E461D9"/>
    <w:rsid w:val="00E47188"/>
    <w:rsid w:val="00E512BB"/>
    <w:rsid w:val="00E51BD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7603D"/>
    <w:rsid w:val="00E76472"/>
    <w:rsid w:val="00E80126"/>
    <w:rsid w:val="00E813AC"/>
    <w:rsid w:val="00E82FAA"/>
    <w:rsid w:val="00E847BB"/>
    <w:rsid w:val="00E85852"/>
    <w:rsid w:val="00E8762A"/>
    <w:rsid w:val="00E87B98"/>
    <w:rsid w:val="00E90E6A"/>
    <w:rsid w:val="00E91088"/>
    <w:rsid w:val="00E918D3"/>
    <w:rsid w:val="00E930EE"/>
    <w:rsid w:val="00E93EBA"/>
    <w:rsid w:val="00E94112"/>
    <w:rsid w:val="00E957C4"/>
    <w:rsid w:val="00E959E0"/>
    <w:rsid w:val="00E97A76"/>
    <w:rsid w:val="00EA07BE"/>
    <w:rsid w:val="00EA1904"/>
    <w:rsid w:val="00EA27CA"/>
    <w:rsid w:val="00EA2856"/>
    <w:rsid w:val="00EA2CEE"/>
    <w:rsid w:val="00EA2E95"/>
    <w:rsid w:val="00EA3F77"/>
    <w:rsid w:val="00EA48DC"/>
    <w:rsid w:val="00EA4EC7"/>
    <w:rsid w:val="00EA5E05"/>
    <w:rsid w:val="00EB0FB7"/>
    <w:rsid w:val="00EB11F3"/>
    <w:rsid w:val="00EB1754"/>
    <w:rsid w:val="00EB411A"/>
    <w:rsid w:val="00EB43DF"/>
    <w:rsid w:val="00EB472C"/>
    <w:rsid w:val="00EB5F0B"/>
    <w:rsid w:val="00EB67CE"/>
    <w:rsid w:val="00EC6435"/>
    <w:rsid w:val="00ED0AC4"/>
    <w:rsid w:val="00ED2550"/>
    <w:rsid w:val="00ED2E5C"/>
    <w:rsid w:val="00ED3347"/>
    <w:rsid w:val="00ED544B"/>
    <w:rsid w:val="00ED5771"/>
    <w:rsid w:val="00ED5CBF"/>
    <w:rsid w:val="00ED63FC"/>
    <w:rsid w:val="00ED7CA8"/>
    <w:rsid w:val="00EE0476"/>
    <w:rsid w:val="00EE7FFE"/>
    <w:rsid w:val="00EF1035"/>
    <w:rsid w:val="00EF12EA"/>
    <w:rsid w:val="00EF31B2"/>
    <w:rsid w:val="00EF3406"/>
    <w:rsid w:val="00EF390F"/>
    <w:rsid w:val="00EF486E"/>
    <w:rsid w:val="00EF62D0"/>
    <w:rsid w:val="00EF74B0"/>
    <w:rsid w:val="00F0151D"/>
    <w:rsid w:val="00F0215C"/>
    <w:rsid w:val="00F1234A"/>
    <w:rsid w:val="00F1374D"/>
    <w:rsid w:val="00F15677"/>
    <w:rsid w:val="00F15B0E"/>
    <w:rsid w:val="00F2553E"/>
    <w:rsid w:val="00F2656E"/>
    <w:rsid w:val="00F27ED1"/>
    <w:rsid w:val="00F30E0C"/>
    <w:rsid w:val="00F310EE"/>
    <w:rsid w:val="00F31CD8"/>
    <w:rsid w:val="00F3306A"/>
    <w:rsid w:val="00F3665B"/>
    <w:rsid w:val="00F36A35"/>
    <w:rsid w:val="00F36D9B"/>
    <w:rsid w:val="00F370CB"/>
    <w:rsid w:val="00F4196F"/>
    <w:rsid w:val="00F4211F"/>
    <w:rsid w:val="00F45089"/>
    <w:rsid w:val="00F46B32"/>
    <w:rsid w:val="00F46E7F"/>
    <w:rsid w:val="00F502DF"/>
    <w:rsid w:val="00F53C17"/>
    <w:rsid w:val="00F5666F"/>
    <w:rsid w:val="00F57ACB"/>
    <w:rsid w:val="00F63393"/>
    <w:rsid w:val="00F645EB"/>
    <w:rsid w:val="00F6627F"/>
    <w:rsid w:val="00F7093F"/>
    <w:rsid w:val="00F731BA"/>
    <w:rsid w:val="00F7467D"/>
    <w:rsid w:val="00F754B2"/>
    <w:rsid w:val="00F76560"/>
    <w:rsid w:val="00F76C3D"/>
    <w:rsid w:val="00F771AE"/>
    <w:rsid w:val="00F80225"/>
    <w:rsid w:val="00F80C2B"/>
    <w:rsid w:val="00F830A8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71C5"/>
    <w:rsid w:val="00FC7B1A"/>
    <w:rsid w:val="00FD01D8"/>
    <w:rsid w:val="00FD6173"/>
    <w:rsid w:val="00FE0719"/>
    <w:rsid w:val="00FE2182"/>
    <w:rsid w:val="00FE2C78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http://www.te.ukrstat.gov.ua/statinfoCT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mailto:o.kalabukha@sssu.gov.ua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813648293963E-2"/>
                  <c:y val="-6.224027128145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43902012248469E-2"/>
                  <c:y val="9.12096932995421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9655643044619465E-2"/>
                  <c:y val="-5.37351067556958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9.2988976377952753E-2"/>
                  <c:y val="-2.12570294578719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5445319335083116E-3"/>
                  <c:y val="4.725432380387332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433420822397201E-2"/>
                  <c:y val="-1.770183079177460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3404374453193351E-2"/>
                  <c:y val="2.62535387038933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0187786526684164"/>
                  <c:y val="-8.2657985387422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9.7813823272091066E-2"/>
                  <c:y val="-2.4539105395196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9.7848643919510148E-2"/>
                  <c:y val="-2.335710796786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>
                    <c:manualLayout>
                      <c:w val="6.5977602799650037E-2"/>
                      <c:h val="7.4992136213567651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7.1600349956255471E-2"/>
                  <c:y val="-4.710344139752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9110411198600178E-2"/>
                  <c:y val="-2.177309843414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7.8626771653543301E-2"/>
                  <c:y val="1.7990297494073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0.6</c:v>
                </c:pt>
                <c:pt idx="1">
                  <c:v>1.1000000000000001</c:v>
                </c:pt>
                <c:pt idx="2">
                  <c:v>1.2</c:v>
                </c:pt>
                <c:pt idx="3">
                  <c:v>-0.4</c:v>
                </c:pt>
                <c:pt idx="4">
                  <c:v>-0.2</c:v>
                </c:pt>
                <c:pt idx="5">
                  <c:v>0.5</c:v>
                </c:pt>
                <c:pt idx="6">
                  <c:v>1.1000000000000001</c:v>
                </c:pt>
                <c:pt idx="7">
                  <c:v>0.1</c:v>
                </c:pt>
                <c:pt idx="8">
                  <c:v>0.4</c:v>
                </c:pt>
                <c:pt idx="9">
                  <c:v>0.8</c:v>
                </c:pt>
                <c:pt idx="10">
                  <c:v>1.2</c:v>
                </c:pt>
                <c:pt idx="11">
                  <c:v>1.8</c:v>
                </c:pt>
                <c:pt idx="12">
                  <c:v>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2390400"/>
        <c:axId val="322390960"/>
      </c:lineChart>
      <c:catAx>
        <c:axId val="322390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2390960"/>
        <c:crosses val="autoZero"/>
        <c:auto val="1"/>
        <c:lblAlgn val="ctr"/>
        <c:lblOffset val="100"/>
        <c:noMultiLvlLbl val="0"/>
      </c:catAx>
      <c:valAx>
        <c:axId val="322390960"/>
        <c:scaling>
          <c:orientation val="minMax"/>
          <c:max val="2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239040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3.4705628201847855E-4"/>
                  <c:y val="-2.053258043657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32227032651154E-3"/>
                  <c:y val="-1.76267253514570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4705628201849909E-4"/>
                  <c:y val="3.1953229570534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090793661990419E-2"/>
                  <c:y val="1.1676108921666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5E-2"/>
                  <c:y val="-4.23169138328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2374196506511713E-2"/>
                  <c:y val="-5.0653418238232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0.8</c:v>
                </c:pt>
                <c:pt idx="1">
                  <c:v>2</c:v>
                </c:pt>
                <c:pt idx="2" formatCode="General">
                  <c:v>3.8</c:v>
                </c:pt>
                <c:pt idx="3" formatCode="General">
                  <c:v>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2393200"/>
        <c:axId val="322393760"/>
      </c:lineChart>
      <c:catAx>
        <c:axId val="322393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2393760"/>
        <c:crosses val="autoZero"/>
        <c:auto val="1"/>
        <c:lblAlgn val="ctr"/>
        <c:lblOffset val="100"/>
        <c:noMultiLvlLbl val="0"/>
      </c:catAx>
      <c:valAx>
        <c:axId val="322393760"/>
        <c:scaling>
          <c:orientation val="minMax"/>
          <c:max val="6"/>
          <c:min val="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2393200"/>
        <c:crosses val="autoZero"/>
        <c:crossBetween val="midCat"/>
        <c:majorUnit val="1"/>
        <c:minorUnit val="0.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301477365496538E-2"/>
                  <c:y val="6.40894081788164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731629095825E-2"/>
                  <c:y val="-7.9818353228612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6206339592166361E-2"/>
                  <c:y val="-8.029125391584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9.8625514620037047E-2"/>
                  <c:y val="4.77622555245109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932109656861454E-2"/>
                  <c:y val="2.57675048683430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8.3802701919785116E-2"/>
                  <c:y val="-5.53585640504614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8.0641859566885243E-2"/>
                  <c:y val="-4.06764880196427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8609977264547702E-2"/>
                  <c:y val="-9.1043942087884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6269633138296016E-2"/>
                  <c:y val="-7.47549052152629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3892765912622121E-2"/>
                  <c:y val="-7.7340614681229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555341953493439E-2"/>
                  <c:y val="-8.0415714164761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42711013158806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17145515673417E-2"/>
                  <c:y val="-6.94284988569977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8.4474056127599433E-3"/>
                  <c:y val="-6.74464482262297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1.8</c:v>
                </c:pt>
                <c:pt idx="1">
                  <c:v>2</c:v>
                </c:pt>
                <c:pt idx="2">
                  <c:v>2.5</c:v>
                </c:pt>
                <c:pt idx="3">
                  <c:v>-1.4</c:v>
                </c:pt>
                <c:pt idx="4">
                  <c:v>-1</c:v>
                </c:pt>
                <c:pt idx="5">
                  <c:v>0.1</c:v>
                </c:pt>
                <c:pt idx="6">
                  <c:v>1.7</c:v>
                </c:pt>
                <c:pt idx="7">
                  <c:v>0.2</c:v>
                </c:pt>
                <c:pt idx="8">
                  <c:v>0.7</c:v>
                </c:pt>
                <c:pt idx="9">
                  <c:v>0.2</c:v>
                </c:pt>
                <c:pt idx="10">
                  <c:v>1.8</c:v>
                </c:pt>
                <c:pt idx="11">
                  <c:v>1.6</c:v>
                </c:pt>
                <c:pt idx="12">
                  <c:v>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2396000"/>
        <c:axId val="322396560"/>
      </c:lineChart>
      <c:catAx>
        <c:axId val="32239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2396560"/>
        <c:crosses val="autoZero"/>
        <c:auto val="1"/>
        <c:lblAlgn val="ctr"/>
        <c:lblOffset val="200"/>
        <c:noMultiLvlLbl val="0"/>
      </c:catAx>
      <c:valAx>
        <c:axId val="322396560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239600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9E-2"/>
                  <c:y val="-7.6674943456688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009654430192638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13898692425101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3994175385611127E-2"/>
                  <c:y val="-8.17594543639792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92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4861755294286843E-2"/>
                  <c:y val="-9.3496543565857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2623593283716333E-2"/>
                  <c:y val="5.3858452552585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5146154675870991E-2"/>
                  <c:y val="-5.583527411186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1754575198648111E-2"/>
                  <c:y val="-7.75692211008835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42711013158806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0326106496961852E-2"/>
                  <c:y val="-9.58818527965694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6173012619997842E-2"/>
                  <c:y val="-0.108832390669476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0.3</c:v>
                </c:pt>
                <c:pt idx="4">
                  <c:v>0.2</c:v>
                </c:pt>
                <c:pt idx="5">
                  <c:v>0.2</c:v>
                </c:pt>
                <c:pt idx="6">
                  <c:v>0.6</c:v>
                </c:pt>
                <c:pt idx="7">
                  <c:v>0.1</c:v>
                </c:pt>
                <c:pt idx="8">
                  <c:v>-0.1</c:v>
                </c:pt>
                <c:pt idx="9">
                  <c:v>0.4</c:v>
                </c:pt>
                <c:pt idx="10">
                  <c:v>0.2</c:v>
                </c:pt>
                <c:pt idx="11" formatCode="0.0">
                  <c:v>0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2398800"/>
        <c:axId val="322399360"/>
      </c:lineChart>
      <c:catAx>
        <c:axId val="322398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2399360"/>
        <c:crosses val="autoZero"/>
        <c:auto val="1"/>
        <c:lblAlgn val="ctr"/>
        <c:lblOffset val="200"/>
        <c:noMultiLvlLbl val="0"/>
      </c:catAx>
      <c:valAx>
        <c:axId val="322399360"/>
        <c:scaling>
          <c:orientation val="minMax"/>
          <c:max val="1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2398800"/>
        <c:crosses val="autoZero"/>
        <c:crossBetween val="midCat"/>
        <c:majorUnit val="0.5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511721444375768E-2"/>
                  <c:y val="-9.11260659891561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2336853797712149E-2"/>
                  <c:y val="-9.3063237337547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2260442700635119E-2"/>
                  <c:y val="-8.2051421772970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3256862982825318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487830659392791E-2"/>
                  <c:y val="7.9424933475011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69364793564628E-2"/>
                  <c:y val="-7.0517396398114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4067435256599831E-2"/>
                  <c:y val="-9.277079984379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7.6934956509275926E-2"/>
                  <c:y val="-0.1048279432199002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6795660781310273E-2"/>
                  <c:y val="-9.694757013504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060019232462075E-2"/>
                  <c:y val="-7.831967884284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3714804843657361E-2"/>
                  <c:y val="-8.1884452470422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6645629431313705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8055413721748949E-2"/>
                  <c:y val="1.32995486290857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0.1</c:v>
                </c:pt>
                <c:pt idx="1">
                  <c:v>0.1</c:v>
                </c:pt>
                <c:pt idx="2">
                  <c:v>0.7</c:v>
                </c:pt>
                <c:pt idx="3">
                  <c:v>1.6</c:v>
                </c:pt>
                <c:pt idx="4">
                  <c:v>-0.4</c:v>
                </c:pt>
                <c:pt idx="5">
                  <c:v>0.1</c:v>
                </c:pt>
                <c:pt idx="6">
                  <c:v>0.1</c:v>
                </c:pt>
                <c:pt idx="7">
                  <c:v>1.4</c:v>
                </c:pt>
                <c:pt idx="8">
                  <c:v>1.2</c:v>
                </c:pt>
                <c:pt idx="9">
                  <c:v>1.2</c:v>
                </c:pt>
                <c:pt idx="10">
                  <c:v>1.9</c:v>
                </c:pt>
                <c:pt idx="11">
                  <c:v>8.4</c:v>
                </c:pt>
                <c:pt idx="12">
                  <c:v>4.7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2401600"/>
        <c:axId val="322402160"/>
      </c:lineChart>
      <c:catAx>
        <c:axId val="32240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2402160"/>
        <c:crosses val="autoZero"/>
        <c:auto val="1"/>
        <c:lblAlgn val="ctr"/>
        <c:lblOffset val="200"/>
        <c:noMultiLvlLbl val="0"/>
      </c:catAx>
      <c:valAx>
        <c:axId val="322402160"/>
        <c:scaling>
          <c:orientation val="minMax"/>
          <c:max val="10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2401600"/>
        <c:crosses val="autoZero"/>
        <c:crossBetween val="midCat"/>
        <c:majorUnit val="2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9CB88C-D737-4EA5-971C-08613669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3</Pages>
  <Words>3359</Words>
  <Characters>1916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Іван Бабій</cp:lastModifiedBy>
  <cp:revision>179</cp:revision>
  <dcterms:created xsi:type="dcterms:W3CDTF">2025-09-19T08:12:00Z</dcterms:created>
  <dcterms:modified xsi:type="dcterms:W3CDTF">2026-05-12T07:55:00Z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