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77351" w14:textId="77777777" w:rsidR="000C5BDE" w:rsidRPr="00695D82" w:rsidRDefault="008927B3" w:rsidP="00BE5E55">
      <w:pPr>
        <w:ind w:left="567" w:hanging="567"/>
        <w:jc w:val="center"/>
        <w:rPr>
          <w:b/>
          <w:sz w:val="24"/>
          <w:szCs w:val="24"/>
          <w:lang w:val="uk-UA"/>
        </w:rPr>
      </w:pPr>
      <w:r w:rsidRPr="00695D82">
        <w:rPr>
          <w:b/>
          <w:sz w:val="24"/>
          <w:szCs w:val="24"/>
          <w:lang w:val="uk-UA"/>
        </w:rPr>
        <w:t>Витрати на охорону навколишнього природного середовища</w:t>
      </w:r>
    </w:p>
    <w:p w14:paraId="197FB4E8" w14:textId="77777777" w:rsidR="008927B3" w:rsidRPr="00695D82" w:rsidRDefault="008927B3" w:rsidP="00BE5E55">
      <w:pPr>
        <w:ind w:left="567" w:hanging="567"/>
        <w:jc w:val="center"/>
        <w:rPr>
          <w:b/>
          <w:sz w:val="24"/>
          <w:szCs w:val="24"/>
          <w:lang w:val="uk-UA"/>
        </w:rPr>
      </w:pPr>
      <w:r w:rsidRPr="00695D82">
        <w:rPr>
          <w:b/>
          <w:sz w:val="24"/>
          <w:szCs w:val="24"/>
          <w:lang w:val="uk-UA"/>
        </w:rPr>
        <w:t xml:space="preserve">за </w:t>
      </w:r>
      <w:r w:rsidR="00A86666" w:rsidRPr="00695D82">
        <w:rPr>
          <w:b/>
          <w:sz w:val="24"/>
          <w:szCs w:val="24"/>
          <w:lang w:val="uk-UA"/>
        </w:rPr>
        <w:t>видами</w:t>
      </w:r>
      <w:r w:rsidR="00243B10" w:rsidRPr="00695D82">
        <w:rPr>
          <w:b/>
          <w:sz w:val="24"/>
          <w:szCs w:val="24"/>
          <w:lang w:val="uk-UA"/>
        </w:rPr>
        <w:t xml:space="preserve"> </w:t>
      </w:r>
      <w:r w:rsidRPr="00695D82">
        <w:rPr>
          <w:b/>
          <w:sz w:val="24"/>
          <w:szCs w:val="24"/>
          <w:lang w:val="uk-UA"/>
        </w:rPr>
        <w:t>природоохоронн</w:t>
      </w:r>
      <w:r w:rsidR="0000198D" w:rsidRPr="00695D82">
        <w:rPr>
          <w:b/>
          <w:sz w:val="24"/>
          <w:szCs w:val="24"/>
          <w:lang w:val="uk-UA"/>
        </w:rPr>
        <w:t>ої</w:t>
      </w:r>
      <w:r w:rsidRPr="00695D82">
        <w:rPr>
          <w:b/>
          <w:sz w:val="24"/>
          <w:szCs w:val="24"/>
          <w:lang w:val="uk-UA"/>
        </w:rPr>
        <w:t xml:space="preserve"> </w:t>
      </w:r>
      <w:r w:rsidR="0000198D" w:rsidRPr="00695D82">
        <w:rPr>
          <w:b/>
          <w:sz w:val="24"/>
          <w:szCs w:val="24"/>
          <w:lang w:val="uk-UA"/>
        </w:rPr>
        <w:t>діяльності</w:t>
      </w:r>
      <w:r w:rsidRPr="00695D82">
        <w:rPr>
          <w:b/>
          <w:sz w:val="24"/>
          <w:szCs w:val="24"/>
          <w:lang w:val="uk-UA"/>
        </w:rPr>
        <w:t xml:space="preserve"> у 20</w:t>
      </w:r>
      <w:r w:rsidR="00C91FC2" w:rsidRPr="00695D82">
        <w:rPr>
          <w:b/>
          <w:sz w:val="24"/>
          <w:szCs w:val="24"/>
          <w:lang w:val="uk-UA"/>
        </w:rPr>
        <w:t>2</w:t>
      </w:r>
      <w:r w:rsidR="00A86666" w:rsidRPr="00695D82">
        <w:rPr>
          <w:b/>
          <w:sz w:val="24"/>
          <w:szCs w:val="24"/>
          <w:lang w:val="uk-UA"/>
        </w:rPr>
        <w:t>3</w:t>
      </w:r>
      <w:r w:rsidRPr="00695D82">
        <w:rPr>
          <w:b/>
          <w:sz w:val="24"/>
          <w:szCs w:val="24"/>
          <w:lang w:val="uk-UA"/>
        </w:rPr>
        <w:t xml:space="preserve"> році</w:t>
      </w:r>
    </w:p>
    <w:p w14:paraId="534BF0E3" w14:textId="77777777" w:rsidR="008927B3" w:rsidRPr="00822912" w:rsidRDefault="008927B3" w:rsidP="00BE5E55">
      <w:pPr>
        <w:jc w:val="right"/>
        <w:rPr>
          <w:snapToGrid w:val="0"/>
          <w:color w:val="000000"/>
          <w:sz w:val="22"/>
          <w:szCs w:val="22"/>
          <w:lang w:val="uk-UA"/>
        </w:rPr>
      </w:pPr>
    </w:p>
    <w:p w14:paraId="23650EAE" w14:textId="77777777" w:rsidR="008927B3" w:rsidRPr="00822912" w:rsidRDefault="008927B3" w:rsidP="00BE5E55">
      <w:pPr>
        <w:ind w:left="567" w:hanging="567"/>
        <w:jc w:val="right"/>
        <w:rPr>
          <w:sz w:val="22"/>
          <w:szCs w:val="22"/>
          <w:lang w:val="uk-UA"/>
        </w:rPr>
      </w:pPr>
      <w:r w:rsidRPr="00822912">
        <w:rPr>
          <w:sz w:val="22"/>
          <w:szCs w:val="22"/>
          <w:lang w:val="uk-UA"/>
        </w:rPr>
        <w:t xml:space="preserve"> (у фактичних цінах</w:t>
      </w:r>
      <w:r w:rsidR="001F7A24" w:rsidRPr="00822912">
        <w:rPr>
          <w:sz w:val="22"/>
          <w:szCs w:val="22"/>
          <w:lang w:val="uk-UA"/>
        </w:rPr>
        <w:t>;</w:t>
      </w:r>
      <w:r w:rsidRPr="00822912">
        <w:rPr>
          <w:sz w:val="22"/>
          <w:szCs w:val="22"/>
          <w:lang w:val="uk-UA"/>
        </w:rPr>
        <w:t xml:space="preserve"> </w:t>
      </w:r>
      <w:proofErr w:type="spellStart"/>
      <w:r w:rsidRPr="00822912">
        <w:rPr>
          <w:sz w:val="22"/>
          <w:szCs w:val="22"/>
          <w:lang w:val="uk-UA"/>
        </w:rPr>
        <w:t>тис.грн</w:t>
      </w:r>
      <w:proofErr w:type="spellEnd"/>
      <w:r w:rsidRPr="00822912">
        <w:rPr>
          <w:sz w:val="22"/>
          <w:szCs w:val="22"/>
          <w:lang w:val="uk-UA"/>
        </w:rPr>
        <w:t>)</w:t>
      </w:r>
    </w:p>
    <w:tbl>
      <w:tblPr>
        <w:tblW w:w="4995" w:type="pct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1"/>
        <w:gridCol w:w="1184"/>
        <w:gridCol w:w="1474"/>
        <w:gridCol w:w="1617"/>
        <w:gridCol w:w="1478"/>
      </w:tblGrid>
      <w:tr w:rsidR="008927B3" w:rsidRPr="00822912" w14:paraId="108052F8" w14:textId="77777777" w:rsidTr="00BE5E55">
        <w:trPr>
          <w:cantSplit/>
        </w:trPr>
        <w:tc>
          <w:tcPr>
            <w:tcW w:w="4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F75C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54E6F93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41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1B0449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 тому числі</w:t>
            </w:r>
          </w:p>
        </w:tc>
      </w:tr>
      <w:tr w:rsidR="008927B3" w:rsidRPr="00822912" w14:paraId="6384CE2F" w14:textId="77777777" w:rsidTr="00BE5E55">
        <w:trPr>
          <w:cantSplit/>
        </w:trPr>
        <w:tc>
          <w:tcPr>
            <w:tcW w:w="4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9DAE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DCEEC8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4EF0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капітальні інвестиції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36AF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 xml:space="preserve">поточні </w:t>
            </w:r>
            <w:r w:rsidR="00BE5E55" w:rsidRPr="00822912">
              <w:rPr>
                <w:b w:val="0"/>
                <w:sz w:val="22"/>
                <w:szCs w:val="22"/>
              </w:rPr>
              <w:br/>
            </w:r>
            <w:r w:rsidRPr="00822912">
              <w:rPr>
                <w:b w:val="0"/>
                <w:sz w:val="22"/>
                <w:szCs w:val="22"/>
              </w:rPr>
              <w:t>витрати</w:t>
            </w:r>
          </w:p>
        </w:tc>
      </w:tr>
      <w:tr w:rsidR="008927B3" w:rsidRPr="00822912" w14:paraId="461F9A38" w14:textId="77777777" w:rsidTr="00BE5E55">
        <w:trPr>
          <w:cantSplit/>
        </w:trPr>
        <w:tc>
          <w:tcPr>
            <w:tcW w:w="4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CF97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6D0FC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C3A94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DFE9E1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 xml:space="preserve">з них витрати на капітальний </w:t>
            </w:r>
            <w:r w:rsidR="00BE5E55" w:rsidRPr="00822912">
              <w:rPr>
                <w:b w:val="0"/>
                <w:sz w:val="22"/>
                <w:szCs w:val="22"/>
              </w:rPr>
              <w:br/>
            </w:r>
            <w:r w:rsidRPr="00822912">
              <w:rPr>
                <w:b w:val="0"/>
                <w:sz w:val="22"/>
                <w:szCs w:val="22"/>
              </w:rPr>
              <w:t>ремонт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135C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</w:p>
        </w:tc>
      </w:tr>
      <w:tr w:rsidR="008927B3" w:rsidRPr="00822912" w14:paraId="4650D9B0" w14:textId="77777777" w:rsidTr="00BE5E55">
        <w:trPr>
          <w:cantSplit/>
        </w:trPr>
        <w:tc>
          <w:tcPr>
            <w:tcW w:w="4081" w:type="dxa"/>
            <w:tcBorders>
              <w:top w:val="single" w:sz="4" w:space="0" w:color="auto"/>
            </w:tcBorders>
            <w:vAlign w:val="bottom"/>
          </w:tcPr>
          <w:p w14:paraId="456C4277" w14:textId="77777777" w:rsidR="008927B3" w:rsidRPr="00822912" w:rsidRDefault="008927B3" w:rsidP="00BE5E55">
            <w:pPr>
              <w:pStyle w:val="11"/>
              <w:rPr>
                <w:b/>
                <w:sz w:val="22"/>
                <w:szCs w:val="22"/>
                <w:lang w:val="uk-UA"/>
              </w:rPr>
            </w:pPr>
            <w:r w:rsidRPr="00822912">
              <w:rPr>
                <w:b/>
                <w:sz w:val="22"/>
                <w:szCs w:val="22"/>
                <w:lang w:val="uk-UA"/>
              </w:rPr>
              <w:t>Капітальні інвестиції та поточні витрати</w:t>
            </w:r>
          </w:p>
        </w:tc>
        <w:tc>
          <w:tcPr>
            <w:tcW w:w="1085" w:type="dxa"/>
            <w:tcBorders>
              <w:top w:val="single" w:sz="6" w:space="0" w:color="auto"/>
            </w:tcBorders>
            <w:vAlign w:val="bottom"/>
          </w:tcPr>
          <w:p w14:paraId="653EAD30" w14:textId="3618F7EF" w:rsidR="008927B3" w:rsidRPr="00D8485E" w:rsidRDefault="00AF1C65" w:rsidP="00BE5E55">
            <w:pPr>
              <w:pStyle w:val="11"/>
              <w:ind w:right="11"/>
              <w:jc w:val="right"/>
              <w:rPr>
                <w:b/>
                <w:sz w:val="22"/>
                <w:szCs w:val="22"/>
                <w:lang w:val="uk-UA"/>
              </w:rPr>
            </w:pPr>
            <w:r w:rsidRPr="00D8485E">
              <w:rPr>
                <w:b/>
                <w:sz w:val="22"/>
                <w:szCs w:val="22"/>
                <w:lang w:val="uk-UA"/>
              </w:rPr>
              <w:t>138242,4</w:t>
            </w:r>
          </w:p>
        </w:tc>
        <w:tc>
          <w:tcPr>
            <w:tcW w:w="1351" w:type="dxa"/>
            <w:tcBorders>
              <w:top w:val="single" w:sz="6" w:space="0" w:color="auto"/>
            </w:tcBorders>
            <w:vAlign w:val="bottom"/>
          </w:tcPr>
          <w:p w14:paraId="30870219" w14:textId="135CD994" w:rsidR="008927B3" w:rsidRPr="00D8485E" w:rsidRDefault="00AF1C65" w:rsidP="00BE5E55">
            <w:pPr>
              <w:pStyle w:val="11"/>
              <w:ind w:right="11"/>
              <w:jc w:val="right"/>
              <w:rPr>
                <w:b/>
                <w:sz w:val="22"/>
                <w:szCs w:val="22"/>
                <w:lang w:val="uk-UA"/>
              </w:rPr>
            </w:pPr>
            <w:r w:rsidRPr="00D8485E">
              <w:rPr>
                <w:b/>
                <w:sz w:val="22"/>
                <w:szCs w:val="22"/>
                <w:lang w:val="uk-UA"/>
              </w:rPr>
              <w:t>41455,9</w:t>
            </w:r>
          </w:p>
        </w:tc>
        <w:tc>
          <w:tcPr>
            <w:tcW w:w="1482" w:type="dxa"/>
            <w:tcBorders>
              <w:top w:val="single" w:sz="6" w:space="0" w:color="auto"/>
            </w:tcBorders>
            <w:vAlign w:val="bottom"/>
          </w:tcPr>
          <w:p w14:paraId="466855FE" w14:textId="6C13C9F2" w:rsidR="008927B3" w:rsidRPr="00D8485E" w:rsidRDefault="00AF1C65" w:rsidP="00BE5E55">
            <w:pPr>
              <w:pStyle w:val="11"/>
              <w:ind w:right="11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8485E">
              <w:rPr>
                <w:rFonts w:eastAsia="Arial Unicode MS"/>
                <w:b/>
                <w:sz w:val="22"/>
                <w:szCs w:val="22"/>
                <w:lang w:val="uk-UA"/>
              </w:rPr>
              <w:t>505,7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bottom"/>
          </w:tcPr>
          <w:p w14:paraId="2BB7D41B" w14:textId="4E37382F" w:rsidR="008927B3" w:rsidRPr="00D8485E" w:rsidRDefault="00AF1C65" w:rsidP="00BE5E55">
            <w:pPr>
              <w:pStyle w:val="11"/>
              <w:ind w:right="11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8485E">
              <w:rPr>
                <w:rFonts w:eastAsia="Arial Unicode MS"/>
                <w:b/>
                <w:sz w:val="22"/>
                <w:szCs w:val="22"/>
                <w:lang w:val="uk-UA"/>
              </w:rPr>
              <w:t>96786,5</w:t>
            </w:r>
          </w:p>
        </w:tc>
      </w:tr>
      <w:tr w:rsidR="008927B3" w:rsidRPr="00822912" w14:paraId="0A8AD890" w14:textId="77777777" w:rsidTr="00BE5E55">
        <w:trPr>
          <w:cantSplit/>
        </w:trPr>
        <w:tc>
          <w:tcPr>
            <w:tcW w:w="4081" w:type="dxa"/>
            <w:vAlign w:val="bottom"/>
          </w:tcPr>
          <w:p w14:paraId="26BC1286" w14:textId="66D1133F" w:rsidR="008927B3" w:rsidRPr="00822912" w:rsidRDefault="008927B3" w:rsidP="00BE5E55">
            <w:pPr>
              <w:pStyle w:val="11"/>
              <w:ind w:firstLine="12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у тому числі на</w:t>
            </w:r>
          </w:p>
        </w:tc>
        <w:tc>
          <w:tcPr>
            <w:tcW w:w="1085" w:type="dxa"/>
            <w:vAlign w:val="bottom"/>
          </w:tcPr>
          <w:p w14:paraId="181F7380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351" w:type="dxa"/>
            <w:vAlign w:val="bottom"/>
          </w:tcPr>
          <w:p w14:paraId="099EC0A8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vAlign w:val="bottom"/>
          </w:tcPr>
          <w:p w14:paraId="2A51A7A0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  <w:tc>
          <w:tcPr>
            <w:tcW w:w="1355" w:type="dxa"/>
            <w:vAlign w:val="bottom"/>
          </w:tcPr>
          <w:p w14:paraId="1998809D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</w:tr>
      <w:tr w:rsidR="008927B3" w:rsidRPr="00822912" w14:paraId="6EC2F6BC" w14:textId="77777777" w:rsidTr="00BE5E55">
        <w:trPr>
          <w:cantSplit/>
        </w:trPr>
        <w:tc>
          <w:tcPr>
            <w:tcW w:w="4081" w:type="dxa"/>
            <w:vAlign w:val="bottom"/>
          </w:tcPr>
          <w:p w14:paraId="0BA2B168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охорону атмосферного повітря і проблеми зміни клімату</w:t>
            </w:r>
          </w:p>
        </w:tc>
        <w:tc>
          <w:tcPr>
            <w:tcW w:w="1085" w:type="dxa"/>
            <w:vAlign w:val="bottom"/>
          </w:tcPr>
          <w:p w14:paraId="7B7C92E2" w14:textId="4CFA744A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1307,0</w:t>
            </w:r>
          </w:p>
        </w:tc>
        <w:tc>
          <w:tcPr>
            <w:tcW w:w="1351" w:type="dxa"/>
            <w:vAlign w:val="bottom"/>
          </w:tcPr>
          <w:p w14:paraId="751BD977" w14:textId="3F4C2C2D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1482" w:type="dxa"/>
            <w:vAlign w:val="bottom"/>
          </w:tcPr>
          <w:p w14:paraId="4872A3B0" w14:textId="68478666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0FE81B5" w14:textId="1AFBDEE8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1277,0</w:t>
            </w:r>
          </w:p>
        </w:tc>
      </w:tr>
      <w:tr w:rsidR="008927B3" w:rsidRPr="00822912" w14:paraId="309456B9" w14:textId="77777777" w:rsidTr="00BE5E55">
        <w:trPr>
          <w:cantSplit/>
        </w:trPr>
        <w:tc>
          <w:tcPr>
            <w:tcW w:w="4081" w:type="dxa"/>
            <w:vAlign w:val="bottom"/>
          </w:tcPr>
          <w:p w14:paraId="48807F69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vertAlign w:val="superscript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очищення зворотних вод</w:t>
            </w:r>
          </w:p>
        </w:tc>
        <w:tc>
          <w:tcPr>
            <w:tcW w:w="1085" w:type="dxa"/>
            <w:vAlign w:val="bottom"/>
          </w:tcPr>
          <w:p w14:paraId="04A4B564" w14:textId="4BA33AAE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56779,4</w:t>
            </w:r>
          </w:p>
        </w:tc>
        <w:tc>
          <w:tcPr>
            <w:tcW w:w="1351" w:type="dxa"/>
            <w:vAlign w:val="bottom"/>
          </w:tcPr>
          <w:p w14:paraId="3DCF736D" w14:textId="500EFB3A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41413,6</w:t>
            </w:r>
          </w:p>
        </w:tc>
        <w:tc>
          <w:tcPr>
            <w:tcW w:w="1482" w:type="dxa"/>
            <w:vAlign w:val="bottom"/>
          </w:tcPr>
          <w:p w14:paraId="5A8BFBFB" w14:textId="69C8CDFD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505,7</w:t>
            </w:r>
          </w:p>
        </w:tc>
        <w:tc>
          <w:tcPr>
            <w:tcW w:w="1355" w:type="dxa"/>
            <w:vAlign w:val="bottom"/>
          </w:tcPr>
          <w:p w14:paraId="474EAECA" w14:textId="57934EA8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15365,8</w:t>
            </w:r>
          </w:p>
        </w:tc>
      </w:tr>
      <w:tr w:rsidR="008927B3" w:rsidRPr="00822912" w14:paraId="3FC9ADE7" w14:textId="77777777" w:rsidTr="00BE5E55">
        <w:trPr>
          <w:cantSplit/>
        </w:trPr>
        <w:tc>
          <w:tcPr>
            <w:tcW w:w="4081" w:type="dxa"/>
            <w:vAlign w:val="bottom"/>
          </w:tcPr>
          <w:p w14:paraId="45CFBACB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085" w:type="dxa"/>
            <w:vAlign w:val="bottom"/>
          </w:tcPr>
          <w:p w14:paraId="4D3DD171" w14:textId="493D6483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68590,6</w:t>
            </w:r>
          </w:p>
        </w:tc>
        <w:tc>
          <w:tcPr>
            <w:tcW w:w="1351" w:type="dxa"/>
            <w:vAlign w:val="bottom"/>
          </w:tcPr>
          <w:p w14:paraId="5798B1C5" w14:textId="5345DB7E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17E8A49E" w14:textId="3A024BD0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52FFF0E7" w14:textId="052338A4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68590,6</w:t>
            </w:r>
          </w:p>
        </w:tc>
      </w:tr>
      <w:tr w:rsidR="008927B3" w:rsidRPr="00822912" w14:paraId="6B4196DB" w14:textId="77777777" w:rsidTr="00BE5E55">
        <w:trPr>
          <w:cantSplit/>
        </w:trPr>
        <w:tc>
          <w:tcPr>
            <w:tcW w:w="4081" w:type="dxa"/>
            <w:vAlign w:val="bottom"/>
          </w:tcPr>
          <w:p w14:paraId="3721448B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захист і реабілітацію ґрунту, підземних  і поверхневих вод</w:t>
            </w:r>
          </w:p>
        </w:tc>
        <w:tc>
          <w:tcPr>
            <w:tcW w:w="1085" w:type="dxa"/>
            <w:vAlign w:val="bottom"/>
          </w:tcPr>
          <w:p w14:paraId="124F693B" w14:textId="3340A965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352,8</w:t>
            </w:r>
          </w:p>
        </w:tc>
        <w:tc>
          <w:tcPr>
            <w:tcW w:w="1351" w:type="dxa"/>
            <w:vAlign w:val="bottom"/>
          </w:tcPr>
          <w:p w14:paraId="0B84C305" w14:textId="52AF5BE9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12,3</w:t>
            </w:r>
          </w:p>
        </w:tc>
        <w:tc>
          <w:tcPr>
            <w:tcW w:w="1482" w:type="dxa"/>
            <w:vAlign w:val="bottom"/>
          </w:tcPr>
          <w:p w14:paraId="7F3A4E56" w14:textId="2C65D9C7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ADC29EE" w14:textId="5A6082DB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340,5</w:t>
            </w:r>
          </w:p>
        </w:tc>
      </w:tr>
      <w:tr w:rsidR="008927B3" w:rsidRPr="00822912" w14:paraId="7C1558F2" w14:textId="77777777" w:rsidTr="00BE5E55">
        <w:trPr>
          <w:cantSplit/>
        </w:trPr>
        <w:tc>
          <w:tcPr>
            <w:tcW w:w="4081" w:type="dxa"/>
            <w:vAlign w:val="bottom"/>
          </w:tcPr>
          <w:p w14:paraId="4E453217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зниження шумового і вібраційного впливу </w:t>
            </w:r>
          </w:p>
        </w:tc>
        <w:tc>
          <w:tcPr>
            <w:tcW w:w="1085" w:type="dxa"/>
            <w:vAlign w:val="bottom"/>
          </w:tcPr>
          <w:p w14:paraId="4F9F70CD" w14:textId="4388E40D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1351" w:type="dxa"/>
            <w:vAlign w:val="bottom"/>
          </w:tcPr>
          <w:p w14:paraId="32B73726" w14:textId="75A18E0D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39CB7C01" w14:textId="51D385ED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4E610BFA" w14:textId="3AC5C305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</w:tr>
      <w:tr w:rsidR="008927B3" w:rsidRPr="00822912" w14:paraId="54BCE1A4" w14:textId="77777777" w:rsidTr="00BE5E55">
        <w:trPr>
          <w:cantSplit/>
        </w:trPr>
        <w:tc>
          <w:tcPr>
            <w:tcW w:w="4081" w:type="dxa"/>
            <w:vAlign w:val="bottom"/>
          </w:tcPr>
          <w:p w14:paraId="5A024807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збереження </w:t>
            </w:r>
            <w:proofErr w:type="spellStart"/>
            <w:r w:rsidRPr="00822912">
              <w:rPr>
                <w:sz w:val="22"/>
                <w:szCs w:val="22"/>
                <w:lang w:val="uk-UA"/>
              </w:rPr>
              <w:t>біорізноманіття</w:t>
            </w:r>
            <w:proofErr w:type="spellEnd"/>
            <w:r w:rsidRPr="00822912">
              <w:rPr>
                <w:sz w:val="22"/>
                <w:szCs w:val="22"/>
                <w:lang w:val="uk-UA"/>
              </w:rPr>
              <w:t xml:space="preserve"> і середовища існування</w:t>
            </w:r>
          </w:p>
        </w:tc>
        <w:tc>
          <w:tcPr>
            <w:tcW w:w="1085" w:type="dxa"/>
            <w:vAlign w:val="bottom"/>
          </w:tcPr>
          <w:p w14:paraId="24922829" w14:textId="4FD75C33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11206,3</w:t>
            </w:r>
          </w:p>
        </w:tc>
        <w:tc>
          <w:tcPr>
            <w:tcW w:w="1351" w:type="dxa"/>
            <w:vAlign w:val="bottom"/>
          </w:tcPr>
          <w:p w14:paraId="161B6ACA" w14:textId="13F8F203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34DC7C35" w14:textId="50691CA1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0995D945" w14:textId="6B7C2786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11206,3</w:t>
            </w:r>
          </w:p>
        </w:tc>
      </w:tr>
      <w:tr w:rsidR="008927B3" w:rsidRPr="00822912" w14:paraId="48AE2159" w14:textId="77777777" w:rsidTr="00BE5E55">
        <w:trPr>
          <w:cantSplit/>
        </w:trPr>
        <w:tc>
          <w:tcPr>
            <w:tcW w:w="4081" w:type="dxa"/>
            <w:vAlign w:val="bottom"/>
          </w:tcPr>
          <w:p w14:paraId="6D29258B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радіаційну безпеку </w:t>
            </w:r>
          </w:p>
        </w:tc>
        <w:tc>
          <w:tcPr>
            <w:tcW w:w="1085" w:type="dxa"/>
            <w:vAlign w:val="bottom"/>
          </w:tcPr>
          <w:p w14:paraId="5E9244F3" w14:textId="1505341F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351" w:type="dxa"/>
            <w:vAlign w:val="bottom"/>
          </w:tcPr>
          <w:p w14:paraId="2C6BF712" w14:textId="03AD473B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44F22A62" w14:textId="29925E3A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1950B7F6" w14:textId="6F35AEF5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</w:tr>
      <w:tr w:rsidR="008927B3" w:rsidRPr="00822912" w14:paraId="71ED1CAA" w14:textId="77777777" w:rsidTr="00BE5E55">
        <w:trPr>
          <w:cantSplit/>
        </w:trPr>
        <w:tc>
          <w:tcPr>
            <w:tcW w:w="4081" w:type="dxa"/>
            <w:vAlign w:val="bottom"/>
          </w:tcPr>
          <w:p w14:paraId="5B422A06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 w:right="-57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науково-дослідні роботи природоохоронного спрямування</w:t>
            </w:r>
          </w:p>
        </w:tc>
        <w:tc>
          <w:tcPr>
            <w:tcW w:w="1085" w:type="dxa"/>
            <w:vAlign w:val="bottom"/>
          </w:tcPr>
          <w:p w14:paraId="14530817" w14:textId="7985EFAD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1" w:type="dxa"/>
            <w:vAlign w:val="bottom"/>
          </w:tcPr>
          <w:p w14:paraId="506A2103" w14:textId="2248B7A9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128154F2" w14:textId="5ABA92F4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06A48E20" w14:textId="42A47C33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8927B3" w:rsidRPr="00822912" w14:paraId="3171DEC1" w14:textId="77777777" w:rsidTr="00BE5E55">
        <w:trPr>
          <w:cantSplit/>
        </w:trPr>
        <w:tc>
          <w:tcPr>
            <w:tcW w:w="4081" w:type="dxa"/>
            <w:vAlign w:val="bottom"/>
          </w:tcPr>
          <w:p w14:paraId="3071AB0E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інші напрями природоохоронної діяльності</w:t>
            </w:r>
          </w:p>
        </w:tc>
        <w:tc>
          <w:tcPr>
            <w:tcW w:w="1085" w:type="dxa"/>
            <w:vAlign w:val="bottom"/>
          </w:tcPr>
          <w:p w14:paraId="13BC1753" w14:textId="3B3D7709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1" w:type="dxa"/>
            <w:vAlign w:val="bottom"/>
          </w:tcPr>
          <w:p w14:paraId="31D77976" w14:textId="400C6B30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325B6116" w14:textId="3778DEE3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6A84BD3" w14:textId="330B8B20" w:rsidR="008927B3" w:rsidRPr="00822912" w:rsidRDefault="000265EF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769FE788" w14:textId="0AA98FAD" w:rsidR="00822912" w:rsidRPr="00D573A9" w:rsidRDefault="00D8485E" w:rsidP="00822912">
      <w:pPr>
        <w:tabs>
          <w:tab w:val="left" w:pos="1134"/>
          <w:tab w:val="left" w:pos="1418"/>
        </w:tabs>
        <w:ind w:left="-142"/>
        <w:rPr>
          <w:color w:val="000000" w:themeColor="text1"/>
          <w:lang w:val="uk-UA"/>
        </w:rPr>
      </w:pPr>
      <w:r>
        <w:rPr>
          <w:color w:val="000000" w:themeColor="text1"/>
          <w:lang w:val="en-US"/>
        </w:rPr>
        <w:t xml:space="preserve">  </w:t>
      </w:r>
      <w:r w:rsidR="00822912">
        <w:rPr>
          <w:color w:val="000000" w:themeColor="text1"/>
          <w:lang w:val="en-US"/>
        </w:rPr>
        <w:t xml:space="preserve"> </w:t>
      </w:r>
      <w:r w:rsidR="00822912" w:rsidRPr="00D573A9">
        <w:rPr>
          <w:color w:val="000000" w:themeColor="text1"/>
        </w:rPr>
        <w:t>___________</w:t>
      </w:r>
      <w:r w:rsidR="00822912" w:rsidRPr="00D573A9">
        <w:rPr>
          <w:color w:val="000000" w:themeColor="text1"/>
          <w:lang w:val="uk-UA"/>
        </w:rPr>
        <w:t>___</w:t>
      </w:r>
    </w:p>
    <w:p w14:paraId="6F823142" w14:textId="77777777" w:rsidR="00822912" w:rsidRPr="002E6F0F" w:rsidRDefault="00822912" w:rsidP="00822912">
      <w:pPr>
        <w:ind w:right="-144"/>
        <w:jc w:val="both"/>
        <w:rPr>
          <w:color w:val="000000" w:themeColor="text1"/>
          <w:lang w:val="uk-UA"/>
        </w:rPr>
      </w:pPr>
      <w:r w:rsidRPr="009E6729">
        <w:rPr>
          <w:color w:val="000000" w:themeColor="text1"/>
          <w:vertAlign w:val="superscript"/>
          <w:lang w:val="uk-UA"/>
        </w:rPr>
        <w:t>1</w:t>
      </w:r>
      <w:r w:rsidRPr="002E6F0F">
        <w:rPr>
          <w:color w:val="000000" w:themeColor="text1"/>
          <w:lang w:val="uk-UA"/>
        </w:rPr>
        <w:t xml:space="preserve"> </w:t>
      </w:r>
      <w:r w:rsidRPr="00D573A9">
        <w:rPr>
          <w:color w:val="000000" w:themeColor="text1"/>
          <w:lang w:val="uk-UA"/>
        </w:rPr>
        <w:t>Дані можуть бути уточнені.</w:t>
      </w:r>
    </w:p>
    <w:p w14:paraId="44BD2F17" w14:textId="77777777" w:rsidR="000B0814" w:rsidRPr="00822912" w:rsidRDefault="000B0814" w:rsidP="00914AD5">
      <w:pPr>
        <w:ind w:left="360"/>
        <w:jc w:val="center"/>
        <w:rPr>
          <w:b/>
          <w:caps/>
          <w:sz w:val="22"/>
          <w:szCs w:val="22"/>
        </w:rPr>
      </w:pPr>
      <w:bookmarkStart w:id="0" w:name="_GoBack"/>
      <w:bookmarkEnd w:id="0"/>
    </w:p>
    <w:sectPr w:rsidR="000B0814" w:rsidRPr="00822912" w:rsidSect="001D37F1">
      <w:footerReference w:type="default" r:id="rId10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C1EC5" w14:textId="77777777" w:rsidR="007A442E" w:rsidRDefault="007A442E" w:rsidP="00822912">
      <w:r>
        <w:separator/>
      </w:r>
    </w:p>
  </w:endnote>
  <w:endnote w:type="continuationSeparator" w:id="0">
    <w:p w14:paraId="086E2788" w14:textId="77777777" w:rsidR="007A442E" w:rsidRDefault="007A442E" w:rsidP="0082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D7CD4" w14:textId="77777777" w:rsidR="00822912" w:rsidRDefault="00822912" w:rsidP="00822912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588AD50A" w14:textId="77777777" w:rsidR="00822912" w:rsidRDefault="00822912" w:rsidP="00822912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14:paraId="001E0203" w14:textId="0B6B1AE5" w:rsidR="00822912" w:rsidRDefault="00822912" w:rsidP="00822912">
    <w:pPr>
      <w:tabs>
        <w:tab w:val="left" w:pos="3432"/>
      </w:tabs>
      <w:autoSpaceDN w:val="0"/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11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F5AE6" w14:textId="77777777" w:rsidR="007A442E" w:rsidRDefault="007A442E" w:rsidP="00822912">
      <w:r>
        <w:separator/>
      </w:r>
    </w:p>
  </w:footnote>
  <w:footnote w:type="continuationSeparator" w:id="0">
    <w:p w14:paraId="489B063F" w14:textId="77777777" w:rsidR="007A442E" w:rsidRDefault="007A442E" w:rsidP="00822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98D"/>
    <w:rsid w:val="000027D6"/>
    <w:rsid w:val="00004E8D"/>
    <w:rsid w:val="00016C10"/>
    <w:rsid w:val="00024EA9"/>
    <w:rsid w:val="000265EF"/>
    <w:rsid w:val="00033FE4"/>
    <w:rsid w:val="000607AE"/>
    <w:rsid w:val="0006532E"/>
    <w:rsid w:val="00076408"/>
    <w:rsid w:val="00081306"/>
    <w:rsid w:val="000850BA"/>
    <w:rsid w:val="0009474A"/>
    <w:rsid w:val="000A3207"/>
    <w:rsid w:val="000B0814"/>
    <w:rsid w:val="000C0A48"/>
    <w:rsid w:val="000C5BDE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54225"/>
    <w:rsid w:val="00164DD6"/>
    <w:rsid w:val="00181886"/>
    <w:rsid w:val="00181E59"/>
    <w:rsid w:val="001A00C7"/>
    <w:rsid w:val="001B573F"/>
    <w:rsid w:val="001C0752"/>
    <w:rsid w:val="001C70B6"/>
    <w:rsid w:val="001C72EB"/>
    <w:rsid w:val="001D37F1"/>
    <w:rsid w:val="001E2997"/>
    <w:rsid w:val="001F7A24"/>
    <w:rsid w:val="00200AAC"/>
    <w:rsid w:val="0020216B"/>
    <w:rsid w:val="00205F28"/>
    <w:rsid w:val="00220BFF"/>
    <w:rsid w:val="00225425"/>
    <w:rsid w:val="00230EAB"/>
    <w:rsid w:val="00243B10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614EF7"/>
    <w:rsid w:val="006375B1"/>
    <w:rsid w:val="0064280E"/>
    <w:rsid w:val="00650244"/>
    <w:rsid w:val="006518F3"/>
    <w:rsid w:val="00654C22"/>
    <w:rsid w:val="00694CDE"/>
    <w:rsid w:val="00695D82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442E"/>
    <w:rsid w:val="007A7CD9"/>
    <w:rsid w:val="007B038C"/>
    <w:rsid w:val="007B5B97"/>
    <w:rsid w:val="007C03B9"/>
    <w:rsid w:val="007C08D1"/>
    <w:rsid w:val="00810F22"/>
    <w:rsid w:val="00822912"/>
    <w:rsid w:val="0082490D"/>
    <w:rsid w:val="008323CF"/>
    <w:rsid w:val="008348C1"/>
    <w:rsid w:val="008535C2"/>
    <w:rsid w:val="00857BEE"/>
    <w:rsid w:val="008927B3"/>
    <w:rsid w:val="008B5908"/>
    <w:rsid w:val="008E51CD"/>
    <w:rsid w:val="008E73BD"/>
    <w:rsid w:val="009113A9"/>
    <w:rsid w:val="00914AD5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6666"/>
    <w:rsid w:val="00A875E1"/>
    <w:rsid w:val="00A948C0"/>
    <w:rsid w:val="00A948C6"/>
    <w:rsid w:val="00AB03F2"/>
    <w:rsid w:val="00AB3729"/>
    <w:rsid w:val="00AB6362"/>
    <w:rsid w:val="00AE232E"/>
    <w:rsid w:val="00AE408D"/>
    <w:rsid w:val="00AF1C65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91FC2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51E9"/>
    <w:rsid w:val="00D2650C"/>
    <w:rsid w:val="00D432CD"/>
    <w:rsid w:val="00D60F0C"/>
    <w:rsid w:val="00D61AAE"/>
    <w:rsid w:val="00D67361"/>
    <w:rsid w:val="00D72F85"/>
    <w:rsid w:val="00D8485E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DF67F3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67BD0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D559"/>
  <w15:docId w15:val="{ED04CCEF-9CD9-4D98-90A9-1390F67A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822912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2291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822912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2291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1E8E-EAF2-42F9-AA86-2255FFD447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4E3F69-AC17-481D-96C5-712500D76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0DDE2-5A0F-46B5-9D67-2BC1A295C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84F15B-A877-4F65-AD1B-44F29ED8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275</cp:revision>
  <cp:lastPrinted>2017-12-20T15:28:00Z</cp:lastPrinted>
  <dcterms:created xsi:type="dcterms:W3CDTF">2017-12-01T07:46:00Z</dcterms:created>
  <dcterms:modified xsi:type="dcterms:W3CDTF">2024-06-11T09:19:00Z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