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1F6" w:rsidRPr="006B51F6" w:rsidRDefault="006B51F6" w:rsidP="006B51F6">
      <w:pPr>
        <w:spacing w:before="300" w:after="150" w:line="240" w:lineRule="auto"/>
        <w:outlineLvl w:val="0"/>
        <w:rPr>
          <w:rFonts w:ascii="eUkraineHead" w:eastAsia="Times New Roman" w:hAnsi="eUkraineHead" w:cs="Times New Roman"/>
          <w:b/>
          <w:bCs/>
          <w:color w:val="000000"/>
          <w:kern w:val="36"/>
          <w:sz w:val="48"/>
          <w:szCs w:val="48"/>
          <w:lang w:eastAsia="uk-UA"/>
        </w:rPr>
      </w:pPr>
      <w:r w:rsidRPr="006B51F6">
        <w:rPr>
          <w:rFonts w:ascii="eUkraineHead" w:eastAsia="Times New Roman" w:hAnsi="eUkraineHead" w:cs="Times New Roman"/>
          <w:b/>
          <w:bCs/>
          <w:color w:val="000000"/>
          <w:kern w:val="36"/>
          <w:sz w:val="48"/>
          <w:szCs w:val="48"/>
          <w:lang w:eastAsia="uk-UA"/>
        </w:rPr>
        <w:t>Скорочення та важлива інформація</w:t>
      </w:r>
    </w:p>
    <w:p w:rsidR="006B51F6" w:rsidRPr="006B51F6" w:rsidRDefault="0070445D" w:rsidP="006B51F6">
      <w:pPr>
        <w:spacing w:after="0" w:line="240" w:lineRule="auto"/>
        <w:rPr>
          <w:rFonts w:ascii="eUkraine" w:eastAsia="Times New Roman" w:hAnsi="eUkraine" w:cs="Times New Roman"/>
          <w:color w:val="000000"/>
          <w:sz w:val="15"/>
          <w:szCs w:val="15"/>
          <w:lang w:eastAsia="uk-UA"/>
        </w:rPr>
      </w:pPr>
      <w:hyperlink r:id="rId5" w:history="1">
        <w:r w:rsidR="006B51F6" w:rsidRPr="006B51F6">
          <w:rPr>
            <w:rFonts w:ascii="eUkraine" w:eastAsia="Times New Roman" w:hAnsi="eUkraine" w:cs="Times New Roman"/>
            <w:color w:val="0000FF"/>
            <w:sz w:val="15"/>
            <w:szCs w:val="15"/>
            <w:lang w:eastAsia="uk-UA"/>
          </w:rPr>
          <w:t> </w:t>
        </w:r>
      </w:hyperlink>
    </w:p>
    <w:p w:rsidR="006B51F6" w:rsidRPr="006B51F6" w:rsidRDefault="006B51F6" w:rsidP="006B51F6">
      <w:pPr>
        <w:spacing w:before="100" w:beforeAutospacing="1" w:after="100" w:afterAutospacing="1" w:line="240" w:lineRule="auto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  <w:t>Скорочення, що використовуються в роз'ясненнях та розмір прожиткового мінімуму</w:t>
      </w:r>
    </w:p>
    <w:p w:rsidR="006B51F6" w:rsidRPr="006B51F6" w:rsidRDefault="0070445D" w:rsidP="006B51F6">
      <w:pPr>
        <w:spacing w:line="240" w:lineRule="auto"/>
        <w:rPr>
          <w:rFonts w:ascii="eUkraine" w:eastAsia="Times New Roman" w:hAnsi="eUkraine" w:cs="Times New Roman"/>
          <w:color w:val="000000"/>
          <w:sz w:val="15"/>
          <w:szCs w:val="15"/>
          <w:lang w:eastAsia="uk-UA"/>
        </w:rPr>
      </w:pPr>
      <w:hyperlink r:id="rId6" w:history="1">
        <w:r w:rsidR="006B51F6" w:rsidRPr="006B51F6">
          <w:rPr>
            <w:rFonts w:ascii="eUkraine" w:eastAsia="Times New Roman" w:hAnsi="eUkraine" w:cs="Times New Roman"/>
            <w:color w:val="333333"/>
            <w:sz w:val="15"/>
            <w:szCs w:val="15"/>
            <w:lang w:eastAsia="uk-UA"/>
          </w:rPr>
          <w:t> </w:t>
        </w:r>
      </w:hyperlink>
      <w:r w:rsidR="006B51F6" w:rsidRPr="006B51F6"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  <w:t>13.11.2023</w:t>
      </w:r>
      <w:r w:rsidR="006B51F6" w:rsidRPr="006B51F6">
        <w:rPr>
          <w:rFonts w:ascii="eUkraine" w:eastAsia="Times New Roman" w:hAnsi="eUkraine" w:cs="Times New Roman"/>
          <w:color w:val="000000"/>
          <w:sz w:val="15"/>
          <w:szCs w:val="15"/>
          <w:lang w:eastAsia="uk-UA"/>
        </w:rPr>
        <w:t> </w:t>
      </w:r>
      <w:r w:rsidR="006B51F6" w:rsidRPr="006B51F6"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  <w:t>Чинна публікація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Правила декларування встановлює та змінює виключно Верховна Рада України.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Останні зміни у правилах декларування Верховна Рада України внесла Законом України від 20.09.2023 № 3384-ІХ «Про внесення змін до деяких законів України про визначення порядку подання декларацій осіб, уповноважених на виконання функцій держави або місцевого самоврядування, в умовах воєнного стану», який набув чинності 12.10.2023.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Відповідно до п. 15 ч. 1 ст. 11 Закону України «Про запобігання корупції» Національне агентство з питань запобігання корупції надає рекомендаційні роз’яснення, методичну та консультаційну допомогу, зокрема, щодо застосування положень Закону та прийнятих на його виконання нормативно-правових актів. 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Ці Роз’яснення надані для забезпечення однакового застосування положень Закону стосовно заходів фінансового контролю, мають рекомендаційний характер,  не містять правових норм і відображають правозастосовну практику. 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Ці Роз’яснення актуальні станом на 13.11.2023. 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Національне агентство періодично оновлює роз’яснення відповідно до законодавчих змін та доповнює їх, ґрунтуючись на запитах декларантів. З актуальною версією роз’яснень завжди можна ознайомитись у Базі знань на офіційному </w:t>
      </w:r>
      <w:proofErr w:type="spellStart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вебсайті</w:t>
      </w:r>
      <w:proofErr w:type="spellEnd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Національного агентства. 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 13.11.2023 втрачають чинність:</w:t>
      </w:r>
    </w:p>
    <w:p w:rsidR="006B51F6" w:rsidRPr="006B51F6" w:rsidRDefault="006B51F6" w:rsidP="006B51F6">
      <w:pPr>
        <w:numPr>
          <w:ilvl w:val="0"/>
          <w:numId w:val="1"/>
        </w:numPr>
        <w:pBdr>
          <w:bottom w:val="single" w:sz="6" w:space="0" w:color="D3D3D3"/>
        </w:pBd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Роз’яснення щодо застосування окремих положень Закону України «Про запобігання корупції» стосовно заходів фінансового контролю (подання декларації, повідомлення про суттєві зміни в майновому стані, повідомлення про відкриття валютного рахунку) від 29.12.2021 № 11;</w:t>
      </w:r>
    </w:p>
    <w:p w:rsidR="006B51F6" w:rsidRPr="006B51F6" w:rsidRDefault="006B51F6" w:rsidP="006B51F6">
      <w:pPr>
        <w:numPr>
          <w:ilvl w:val="0"/>
          <w:numId w:val="1"/>
        </w:numPr>
        <w:pBdr>
          <w:bottom w:val="single" w:sz="6" w:space="0" w:color="D3D3D3"/>
        </w:pBd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Роз’яснення щодо подання декларації «кандидата на посаду» та проведення спеціальної перевірки в умовах воєнного стану від 01.03.2022 № 3;</w:t>
      </w:r>
    </w:p>
    <w:p w:rsidR="006B51F6" w:rsidRPr="006B51F6" w:rsidRDefault="006B51F6" w:rsidP="006B51F6">
      <w:pPr>
        <w:numPr>
          <w:ilvl w:val="0"/>
          <w:numId w:val="1"/>
        </w:numPr>
        <w:pBdr>
          <w:bottom w:val="single" w:sz="6" w:space="0" w:color="D3D3D3"/>
        </w:pBd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Роз’яснення щодо застосування окремих положень Закону України «Про запобігання корупції» стосовно заходів фінансового контролю в умовах воєнного стану (подання декларації, повідомлення про суттєві зміни в майновому стані, повідомлення про відкриття валютного рахунку, проведення перевірок) від 07.03.2022 № 4;</w:t>
      </w:r>
    </w:p>
    <w:p w:rsidR="006B51F6" w:rsidRPr="006B51F6" w:rsidRDefault="006B51F6" w:rsidP="006B51F6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Роз’яснення щодо проведення спеціальних перевірок до перемоги України над російською федерацією від 12.05.2022 № 7. 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  <w:t> 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У цих Роз’ясненнях вживаються такі скорочення: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Порядок № 449/21 – Порядок заповнення та подання декларації особи, уповноваженої на виконання функцій держави або місцевого самоврядування, затверджений наказом Національного агентства з питань запобігання корупції від 23.07.2021 № 449/21;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Порядок № 450/21 – Порядок інформування Національного агентства з питань запобігання корупції про суттєві зміни у майновому стані суб’єкта декларування, затверджений наказом Національного агентства з питань запобігання корупції від 23.07.2021 № 450/21;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Порядок № 451/21 – Порядок інформування Національного агентства з питань запобігання корупції про відкриття валютного рахунка в установі банку-нерезидента, затверджений наказом Національного агентства з питань запобігання корупції від 23.07.2021 № 451/21;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Закон – Закон України «Про запобігання корупції»;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Закон № 3384-ІХ – Закон України від 20.09.2023 № 3384-ІХ «Про внесення змін до деяких законів України про визначення порядку подання декларацій осіб, уповноважених на виконання функцій держави або місцевого самоврядування, в умовах воєнного стану»;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Закон № 1780-IX – Закон України від 23.09.2021 № 1780-IX «Про запобігання загрозам національній безпеці, пов’язаним із надмірним впливом осіб, які мають значну економічну та політичну вагу в суспільному житті (олігархів)»;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декларація – декларація особи, уповноваженої на виконання функцій держави або місцевого самоврядування. Види декларацій передбачені Законом та Порядком № 449/21;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щорічна декларація (продовжується діяльність) – декларація, яка подається відповідно до ч. 1 ст. 45 Закону (щороку);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щорічна декларація (після звільнення) – декларація, яка подається відповідно до </w:t>
      </w:r>
      <w:proofErr w:type="spellStart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абз</w:t>
      </w:r>
      <w:proofErr w:type="spellEnd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 2 ч. 2 ст. 45 Закону;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декларація при звільненні – декларація, яка подається відповідно до </w:t>
      </w:r>
      <w:proofErr w:type="spellStart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абз</w:t>
      </w:r>
      <w:proofErr w:type="spellEnd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 1 ч. 2 ст. 45 Закону;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декларація кандидата на посаду – декларація, яка подається відповідно до </w:t>
      </w:r>
      <w:proofErr w:type="spellStart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абз</w:t>
      </w:r>
      <w:proofErr w:type="spellEnd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 1 ч. 3 ст. 45 Закону;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діяльність, яка передбачає обов’язок подання декларації – діяльність, пов’язана з виконанням функцій держави або місцевого самоврядування, або інша діяльність, зазначена у </w:t>
      </w:r>
      <w:proofErr w:type="spellStart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пп</w:t>
      </w:r>
      <w:proofErr w:type="spellEnd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. «а», «в» – «ґ» п. 2 ч. 1 ст. 3 Закону, а також перебування на посадах (у статусах), зазначених у п. 1, </w:t>
      </w:r>
      <w:proofErr w:type="spellStart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пп</w:t>
      </w:r>
      <w:proofErr w:type="spellEnd"/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 «а», «в» – «ґ» п. 2 ч. 1 ст. 3 Закону;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Національне агентство – Національне агентство з питань запобігання корупції;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Реєстр – Єдиний державний реєстр декларацій осіб, уповноважених на виконання функцій держави або місцевого самоврядування;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ПМ – прожитковий мінімум, встановлений для працездатних осіб на 01 січня звітного року (визначається законом про Державний бюджет України на відповідний рік);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ПСЗ – повідомлення про суттєві зміни в майновому стані;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ПВВР – повідомлення про відкриття валютного рахунка в установі банку-нерезидента;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ЦК України – Цивільний кодекс України;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ГК України – Господарський кодекс України;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КЗпП України – Кодекс законів про працю України;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ПК України – Податковий кодекс України;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КК України – Кримінальний кодекс України;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КПК України – Кримінальний процесуальний кодекс України;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КУпАП – Кодекс України про адміністративні правопорушення;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ЗК України – Земельний кодекс України;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СК України – Сімейний кодекс України;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ЄСПЛ – Європейський суд з прав людини.</w:t>
      </w:r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! </w:t>
      </w: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Дотримуйтесь послідовності заповнення відомостей у відповідних розділах декларації, яка визначена у Порядку № 449/21, з метою уникнення логічних помилок під час заповнення декларації.</w:t>
      </w:r>
      <w:bookmarkStart w:id="0" w:name="_GoBack"/>
      <w:bookmarkEnd w:id="0"/>
    </w:p>
    <w:p w:rsidR="006B51F6" w:rsidRPr="006B51F6" w:rsidRDefault="006B51F6" w:rsidP="006B51F6">
      <w:pPr>
        <w:spacing w:after="0"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! </w:t>
      </w: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Не менше половини днів звітного періоду – запитання 72 цих Роз’яснень.</w:t>
      </w:r>
    </w:p>
    <w:p w:rsidR="006B51F6" w:rsidRPr="006B51F6" w:rsidRDefault="006B51F6" w:rsidP="006B51F6">
      <w:pPr>
        <w:spacing w:before="100" w:beforeAutospacing="1" w:after="100" w:afterAutospacing="1" w:line="360" w:lineRule="atLeast"/>
        <w:ind w:firstLine="400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!</w:t>
      </w:r>
      <w:r w:rsidRPr="006B51F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Розмір прожиткових мінімумів для працездатних осіб на 1 січня відповідного року:</w:t>
      </w:r>
    </w:p>
    <w:tbl>
      <w:tblPr>
        <w:tblW w:w="124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0"/>
        <w:gridCol w:w="1842"/>
        <w:gridCol w:w="1843"/>
        <w:gridCol w:w="1985"/>
        <w:gridCol w:w="5185"/>
      </w:tblGrid>
      <w:tr w:rsidR="006B51F6" w:rsidRPr="006B51F6" w:rsidTr="00A45B77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51F6">
              <w:rPr>
                <w:rFonts w:ascii="eUkraine" w:eastAsia="Times New Roman" w:hAnsi="eUkraine" w:cs="Times New Roman"/>
                <w:color w:val="333333"/>
                <w:sz w:val="15"/>
                <w:szCs w:val="15"/>
                <w:lang w:eastAsia="uk-UA"/>
              </w:rPr>
              <w:t> </w:t>
            </w:r>
            <w:r w:rsidRPr="006B51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 ПМ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 ПМ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50 ПМ</w:t>
            </w:r>
          </w:p>
        </w:tc>
        <w:tc>
          <w:tcPr>
            <w:tcW w:w="5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0E5A18">
            <w:pPr>
              <w:spacing w:after="0" w:line="240" w:lineRule="auto"/>
              <w:ind w:right="2676"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100 ПМ</w:t>
            </w:r>
          </w:p>
        </w:tc>
      </w:tr>
      <w:tr w:rsidR="006B51F6" w:rsidRPr="006B51F6" w:rsidTr="00A45B77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2020 рік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2 102 грн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10 510 грн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105 100  грн</w:t>
            </w:r>
          </w:p>
        </w:tc>
        <w:tc>
          <w:tcPr>
            <w:tcW w:w="5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210 200 грн</w:t>
            </w:r>
          </w:p>
        </w:tc>
      </w:tr>
      <w:tr w:rsidR="006B51F6" w:rsidRPr="006B51F6" w:rsidTr="00A45B77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2021 рік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2 270 грн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11 350 грн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113 500 грн</w:t>
            </w:r>
          </w:p>
        </w:tc>
        <w:tc>
          <w:tcPr>
            <w:tcW w:w="5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227 000 грн</w:t>
            </w:r>
          </w:p>
        </w:tc>
      </w:tr>
      <w:tr w:rsidR="006B51F6" w:rsidRPr="006B51F6" w:rsidTr="00A45B77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2022 рік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2 481 грн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12 405 грн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124 050 грн</w:t>
            </w:r>
          </w:p>
        </w:tc>
        <w:tc>
          <w:tcPr>
            <w:tcW w:w="5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248 100 грн</w:t>
            </w:r>
          </w:p>
        </w:tc>
      </w:tr>
      <w:tr w:rsidR="006B51F6" w:rsidRPr="006B51F6" w:rsidTr="00A45B77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2 684 грн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13 420 грн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134 200 грн</w:t>
            </w:r>
          </w:p>
        </w:tc>
        <w:tc>
          <w:tcPr>
            <w:tcW w:w="5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268 400 грн</w:t>
            </w:r>
          </w:p>
        </w:tc>
      </w:tr>
      <w:tr w:rsidR="006B51F6" w:rsidRPr="006B51F6" w:rsidTr="00A45B77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2024 рік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3 028 грн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15 140 грн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151 400 грн</w:t>
            </w:r>
          </w:p>
        </w:tc>
        <w:tc>
          <w:tcPr>
            <w:tcW w:w="5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B51F6" w:rsidRPr="006B51F6" w:rsidRDefault="006B51F6" w:rsidP="006B51F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6B51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302 800 грн</w:t>
            </w:r>
          </w:p>
        </w:tc>
      </w:tr>
    </w:tbl>
    <w:p w:rsidR="006B51F6" w:rsidRPr="006B51F6" w:rsidRDefault="006B51F6" w:rsidP="006B51F6">
      <w:pPr>
        <w:spacing w:line="240" w:lineRule="auto"/>
        <w:ind w:firstLine="425"/>
        <w:jc w:val="both"/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</w:pPr>
      <w:r w:rsidRPr="006B51F6">
        <w:rPr>
          <w:rFonts w:ascii="eUkraine" w:eastAsia="Times New Roman" w:hAnsi="eUkraine" w:cs="Times New Roman"/>
          <w:color w:val="333333"/>
          <w:sz w:val="15"/>
          <w:szCs w:val="15"/>
          <w:lang w:eastAsia="uk-UA"/>
        </w:rPr>
        <w:t> </w:t>
      </w:r>
    </w:p>
    <w:p w:rsidR="00013205" w:rsidRDefault="00013205"/>
    <w:sectPr w:rsidR="00013205" w:rsidSect="00202EE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kraineHead">
    <w:altName w:val="Times New Roman"/>
    <w:panose1 w:val="00000000000000000000"/>
    <w:charset w:val="00"/>
    <w:family w:val="roman"/>
    <w:notTrueType/>
    <w:pitch w:val="default"/>
  </w:font>
  <w:font w:name="e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C4375"/>
    <w:multiLevelType w:val="multilevel"/>
    <w:tmpl w:val="23CE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33"/>
    <w:rsid w:val="00013205"/>
    <w:rsid w:val="000E5A18"/>
    <w:rsid w:val="001A7AB9"/>
    <w:rsid w:val="00202EE9"/>
    <w:rsid w:val="006B51F6"/>
    <w:rsid w:val="0070445D"/>
    <w:rsid w:val="00A45B77"/>
    <w:rsid w:val="00E5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BBB33C-0C73-4CA4-8474-625A099C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51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1F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6B51F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B5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-date">
    <w:name w:val="text-date"/>
    <w:basedOn w:val="a0"/>
    <w:rsid w:val="006B51F6"/>
  </w:style>
  <w:style w:type="character" w:customStyle="1" w:styleId="text-valid">
    <w:name w:val="text-valid"/>
    <w:basedOn w:val="a0"/>
    <w:rsid w:val="006B5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62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41008">
                  <w:marLeft w:val="0"/>
                  <w:marRight w:val="0"/>
                  <w:marTop w:val="0"/>
                  <w:marBottom w:val="0"/>
                  <w:divBdr>
                    <w:top w:val="single" w:sz="6" w:space="0" w:color="D3D3D3"/>
                    <w:left w:val="single" w:sz="6" w:space="15" w:color="D3D3D3"/>
                    <w:bottom w:val="single" w:sz="6" w:space="0" w:color="D3D3D3"/>
                    <w:right w:val="single" w:sz="6" w:space="15" w:color="D3D3D3"/>
                  </w:divBdr>
                  <w:divsChild>
                    <w:div w:id="76126796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D3D3D3"/>
                      </w:divBdr>
                    </w:div>
                  </w:divsChild>
                </w:div>
                <w:div w:id="436296466">
                  <w:marLeft w:val="0"/>
                  <w:marRight w:val="0"/>
                  <w:marTop w:val="15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12888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nazk.gov.ua/6106/" TargetMode="External"/><Relationship Id="rId5" Type="http://schemas.openxmlformats.org/officeDocument/2006/relationships/hyperlink" Target="https://wiki.nazk.gov.ua/033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3912</Words>
  <Characters>2230</Characters>
  <Application>Microsoft Office Word</Application>
  <DocSecurity>0</DocSecurity>
  <Lines>18</Lines>
  <Paragraphs>12</Paragraphs>
  <ScaleCrop>false</ScaleCrop>
  <Company>Hewlett-Packard Company</Company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Юровська</dc:creator>
  <cp:keywords/>
  <dc:description/>
  <cp:lastModifiedBy>Администратор</cp:lastModifiedBy>
  <cp:revision>7</cp:revision>
  <dcterms:created xsi:type="dcterms:W3CDTF">2023-11-14T08:02:00Z</dcterms:created>
  <dcterms:modified xsi:type="dcterms:W3CDTF">2023-11-01T02:44:00Z</dcterms:modified>
</cp:coreProperties>
</file>