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6F" w:rsidRPr="00C9196F" w:rsidRDefault="00C9196F" w:rsidP="00C9196F">
      <w:pPr>
        <w:spacing w:before="300" w:after="150" w:line="240" w:lineRule="auto"/>
        <w:outlineLvl w:val="0"/>
        <w:rPr>
          <w:rFonts w:ascii="eUkraineHead" w:eastAsia="Times New Roman" w:hAnsi="eUkraineHead" w:cs="Times New Roman"/>
          <w:b/>
          <w:bCs/>
          <w:kern w:val="36"/>
          <w:sz w:val="48"/>
          <w:szCs w:val="48"/>
          <w:lang w:eastAsia="uk-UA"/>
        </w:rPr>
      </w:pPr>
      <w:r w:rsidRPr="00C9196F">
        <w:rPr>
          <w:rFonts w:ascii="eUkraineHead" w:eastAsia="Times New Roman" w:hAnsi="eUkraineHead" w:cs="Times New Roman"/>
          <w:b/>
          <w:bCs/>
          <w:kern w:val="36"/>
          <w:sz w:val="48"/>
          <w:szCs w:val="48"/>
          <w:lang w:eastAsia="uk-UA"/>
        </w:rPr>
        <w:t>ХХІІІ. Повідомлення про відкриття валютного рахунка (ПВВР)</w:t>
      </w:r>
    </w:p>
    <w:p w:rsidR="00C9196F" w:rsidRPr="00C9196F" w:rsidRDefault="00A46B2E" w:rsidP="00222D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hyperlink r:id="rId5" w:history="1">
        <w:r w:rsidR="00C9196F" w:rsidRPr="00C9196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225. За якою формою та як слід подавати ПВВР?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6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Таке повідомлення подається в електронній формі.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Суб’єкт декларування зобов’язаний повідомити Національне агентство про відкриття валютного рахунка в установі банку-нерезидента</w:t>
      </w:r>
      <w:r w:rsidRPr="00C91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20-денний строк з дня:</w:t>
      </w:r>
    </w:p>
    <w:p w:rsidR="00C9196F" w:rsidRPr="00C9196F" w:rsidRDefault="00C9196F" w:rsidP="00C9196F">
      <w:pPr>
        <w:numPr>
          <w:ilvl w:val="0"/>
          <w:numId w:val="1"/>
        </w:numPr>
        <w:pBdr>
          <w:bottom w:val="single" w:sz="6" w:space="0" w:color="D3D3D3"/>
        </w:pBdr>
        <w:spacing w:after="0" w:line="240" w:lineRule="auto"/>
        <w:ind w:left="6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коли суб’єкт декларування або член його сім’ї відкрив валютний рахунок;</w:t>
      </w:r>
    </w:p>
    <w:p w:rsidR="00C9196F" w:rsidRPr="00C9196F" w:rsidRDefault="00C9196F" w:rsidP="00C9196F">
      <w:pPr>
        <w:numPr>
          <w:ilvl w:val="0"/>
          <w:numId w:val="1"/>
        </w:numPr>
        <w:spacing w:after="0" w:line="240" w:lineRule="auto"/>
        <w:ind w:left="6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коли суб’єкту декларування стало відомо або повинно було стати відомо про відкриття такого рахунка членом його сім’ї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3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Суб’єкт декларування</w:t>
      </w:r>
      <w:r w:rsidRPr="00C91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особисто 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заповнює відповідну електронну форму повідомлення про відкриття ним або членом його сім’ї валютного рахунка в установі банку-нерезидента після автентифікації у персональному електронному кабінеті Реєстру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4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Подання ПВВР до Реєстру підтверджується листами на електронну пошту суб’єкта декларування та у персональному електронному кабінеті суб’єкта декларування.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ПВВР подається незалежно від того, перебуває суб’єкт декларування в Україні чи за її межами.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ПВВР в паперовій формі не подається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7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225-1. Про відкриття яких рахунків слід повідомляти?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7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ПВВР подається лише про відкриття валютних рахунків, відкритих в установах банків-нерезидентів.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Повідомлення про відкриття інших рахунків, які обслуговуються юридичними особами, які не є установами банку-нерезидента, до Національного агентства не подаються.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Суб’єкт декларування зобов’язаний повідомити Національне агентство про відкриття ним або членом його сім’ї </w:t>
      </w:r>
      <w:r w:rsidRPr="00C91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валютного рахунка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в установі </w:t>
      </w:r>
      <w:r w:rsidRPr="00C91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банку-нерезидента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(ч. 1 ст. 52 Закону)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Валютний рахунок – будь-який рахунок суб’єкта декларування або члена його сім’ї, відкритий в установі банку-нерезидента в будь-якій валюті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2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Установа банку-нерезидента – юридична особа-нерезидент будь-якої організаційно-правової форми, яка є банком, її відокремлені підрозділи (філії, відділення), що створені і діють відповідно до законодавства іноземної держави та з місцезнаходженням за межами України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2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Банк – юридична особа, яка на підставі банківської ліцензії має виключне право надавати банківські послуги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(ст. 2 Закону України «Про банки і банківську діяльність»)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Валюта – національна валюта України та іноземна валюта.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Національна валюта (гривня):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а) грошові знаки грошової одиниці України – гривні у вигляді банкнот, монет, у тому числі обігових, пам’ятних та ювілейних монет, і в інших формах, що перебувають в обігу та є законним платіжним засобом на території України, а також вилучені або такі, що вилучаються з обігу, але підлягають обміну на грошові знаки, що перебувають в обігу;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б) кошти на рахунках у банках та інших фінансових установах, виражені у гривні;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в) електронні гроші, номіновані у гривні;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г) цифрові гроші Національного банку України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6 ст. 1 Закону України «Про валюту і валютні операції»)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Іноземна валюта: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а) грошові знаки грошових одиниць іноземних держав у вигляді банкнот, казначейських білетів, монет, що перебувають в обігу та є законним платіжним засобом на території відповідної 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іноземної держави або групи іноземних держав, а також вилучені або такі, що вилучаються з обігу, але підлягають обміну на грошові знаки, що перебувають в обігу;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б) кошти на рахунках у банках та інших фінансових установах, виражені у грошових одиницях іноземних держав і міжнародних розрахункових (клірингових) одиницях (зокрема у спеціальних правах запозичення), що належать до виплати в іноземній валюті;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в) електронні гроші, номіновані у грошових одиницях іноземних держав та (або) банківських металах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5 ст. 1 Закону України «Про валюту і валютні операції»)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226. Як зазначати інформацію, якщо в один день відкрито декілька валютних рахунків?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8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Якщо суб’єкт декларування або член його сім’ї відкрив в один день декілька валютних рахунків в одній установі банку-нерезидента, суб’єкт декларування подає одне ПВВР із зазначенням номерів відповідних валютних рахунків і місцезнаходження установи банку-нерезидента. 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Якщо валютні рахунки відкриті в один день як суб’єктом декларування, так і членом його сім’ї, або якщо валютні рахунки відкриті в різних установах банку-нерезидента, подаються окремі ПВВР стосовно кожної особи чи кожної установи банку-нерезидента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5 Порядку № 451/21)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227. Чи відображаються ПВВР в публічній частині Реєстру?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9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before="280" w:after="2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228. Коли у суб’єкта декларування припиняється обов’язок подавати ПВВР?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0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Після припинення виконання ним функцій держави або місцевого самоврядування або перебування на посаді, що зумовлює здійснення діяльності, яка передбачає обов’язок подання декларації.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Це може бути звільнення суб’єкта декларування або переведення на іншу посаду, яка не передбачає виконання функцій держави або місцевого самоврядування.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uk-UA"/>
        </w:rPr>
        <w:t>!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Суб’єкт декларування зобов’язаний подати ПВВР, якщо підстави для його подання виникли до дня припинення або в останній день виконання ним функцій держави або місцевого самоврядування або перебування на відповідній посаді.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229. Чи повідомляти про відкриття брокерського, інвестиційного рахунка?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1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Детальніше див. відповідь на </w:t>
      </w:r>
      <w:r w:rsidRPr="00C919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запитання 225-1 цих Роз’яснень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229-1. Чи повідомляти про відкриття рахунка для зберігання електронних грошей (на сервісах </w:t>
      </w:r>
      <w:proofErr w:type="spellStart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Wise</w:t>
      </w:r>
      <w:proofErr w:type="spellEnd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Skrill</w:t>
      </w:r>
      <w:proofErr w:type="spellEnd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Neteller</w:t>
      </w:r>
      <w:proofErr w:type="spellEnd"/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та подібних)?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2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 xml:space="preserve">Ні, якщо компанії, які володіють відповідними сервісами для зберігання електронних грошей (наприклад, </w:t>
      </w:r>
      <w:proofErr w:type="spellStart"/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Wise</w:t>
      </w:r>
      <w:proofErr w:type="spellEnd"/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), не є банками.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Зазвичай це фінансові установи. 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Детальніше див. відповідь на </w:t>
      </w:r>
      <w:r w:rsidRPr="00C919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запитання 225-1 цих Роз’яснень</w:t>
      </w: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229-2. Чи потрібно подавати ПВВР, відкритого для отримання матеріальної допомоги під час дії воєнного стану?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3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12.11.2023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Ні, за наявності в сукупності таких обставин</w:t>
      </w:r>
      <w:r w:rsidRPr="00C919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:</w:t>
      </w:r>
    </w:p>
    <w:p w:rsidR="00C9196F" w:rsidRPr="00C9196F" w:rsidRDefault="00C9196F" w:rsidP="00C9196F">
      <w:pPr>
        <w:numPr>
          <w:ilvl w:val="0"/>
          <w:numId w:val="2"/>
        </w:numPr>
        <w:pBdr>
          <w:bottom w:val="single" w:sz="6" w:space="0" w:color="D3D3D3"/>
        </w:pBdr>
        <w:shd w:val="clear" w:color="auto" w:fill="FFFFFF"/>
        <w:spacing w:after="0" w:line="240" w:lineRule="auto"/>
        <w:ind w:left="34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суб’єктом декларування або членом його сім’ї відкрито валютний рахунок в установі банку-нерезидента під час дії воєнного стану;</w:t>
      </w:r>
    </w:p>
    <w:p w:rsidR="00C9196F" w:rsidRPr="00C9196F" w:rsidRDefault="00C9196F" w:rsidP="00C9196F">
      <w:pPr>
        <w:numPr>
          <w:ilvl w:val="0"/>
          <w:numId w:val="2"/>
        </w:numPr>
        <w:pBdr>
          <w:bottom w:val="single" w:sz="6" w:space="0" w:color="D3D3D3"/>
        </w:pBdr>
        <w:shd w:val="clear" w:color="auto" w:fill="FFFFFF"/>
        <w:spacing w:after="0" w:line="240" w:lineRule="auto"/>
        <w:ind w:left="34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такий рахунок використовувався виключно для отримання матеріальної допомоги, передбаченої законодавством іноземної держави (крім держави, визнаної Верховною Радою України державою-агресором), виплаченої за рахунок коштів іноземної держави (крім держави, визнаної Верховною Радою України державою-агресором) або міжнародної організації; </w:t>
      </w:r>
    </w:p>
    <w:p w:rsidR="00C9196F" w:rsidRPr="00C9196F" w:rsidRDefault="00C9196F" w:rsidP="00C9196F">
      <w:pPr>
        <w:numPr>
          <w:ilvl w:val="0"/>
          <w:numId w:val="2"/>
        </w:numPr>
        <w:shd w:val="clear" w:color="auto" w:fill="FFFFFF"/>
        <w:spacing w:after="0" w:line="240" w:lineRule="auto"/>
        <w:ind w:left="34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такий рахунок закритий протягом одного місяця з дня припинення чи скасування воєнного стану.</w:t>
      </w:r>
    </w:p>
    <w:p w:rsidR="00C9196F" w:rsidRPr="00C9196F" w:rsidRDefault="00C9196F" w:rsidP="00C9196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випадку недотримання принаймні однієї із вищезазначених умов суб’єкт декларування зобов’язаний подати ПВВР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2-6 розділу ХІІІ «Прикінцеві положення» Закону встановлено особливості обов’язку, передбаченого ч. 1 ст. 52 Закону).</w:t>
      </w:r>
    </w:p>
    <w:p w:rsidR="00C9196F" w:rsidRPr="00C9196F" w:rsidRDefault="00C9196F" w:rsidP="00C91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229-3. Хто звільняється від подання ПВВР?</w:t>
      </w:r>
    </w:p>
    <w:p w:rsidR="00C9196F" w:rsidRPr="00C9196F" w:rsidRDefault="00A46B2E" w:rsidP="00C9196F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4" w:history="1">
        <w:r w:rsidR="00C9196F" w:rsidRPr="00C9196F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C9196F" w:rsidRPr="00C9196F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C9196F" w:rsidRPr="00C9196F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C9196F" w:rsidRPr="00C9196F" w:rsidRDefault="00C9196F" w:rsidP="00C9196F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Більшість суб’єктів декларування:</w:t>
      </w:r>
    </w:p>
    <w:p w:rsidR="00C9196F" w:rsidRPr="00C9196F" w:rsidRDefault="00C9196F" w:rsidP="00C9196F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- звільняються від обов’язку подання ПВВР, підстави для подання яких виникли у період з 24.02.2022 до 11.10.2023 включно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</w:t>
      </w:r>
      <w:proofErr w:type="spellStart"/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абз</w:t>
      </w:r>
      <w:proofErr w:type="spellEnd"/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. 3 п.  2-7 розділу XIII «Прикінцеві положення</w:t>
      </w:r>
      <w:r w:rsidRPr="00C9196F">
        <w:rPr>
          <w:rFonts w:ascii="Times New Roman" w:eastAsia="Times New Roman" w:hAnsi="Times New Roman" w:cs="Times New Roman"/>
          <w:b/>
          <w:bCs/>
          <w:color w:val="999999"/>
          <w:sz w:val="24"/>
          <w:szCs w:val="24"/>
          <w:lang w:eastAsia="uk-UA"/>
        </w:rPr>
        <w:t>»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 Закону)</w:t>
      </w: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- зобов’язані подавати ПВВР з 12.10.2023.</w:t>
      </w:r>
    </w:p>
    <w:p w:rsidR="00C9196F" w:rsidRPr="00C9196F" w:rsidRDefault="00C9196F" w:rsidP="00C9196F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Суб’єкти декларування, </w:t>
      </w:r>
      <w:r w:rsidRPr="00C9196F">
        <w:rPr>
          <w:rFonts w:ascii="Times New Roman" w:eastAsia="Times New Roman" w:hAnsi="Times New Roman" w:cs="Times New Roman"/>
          <w:b/>
          <w:bCs/>
          <w:i/>
          <w:iCs/>
          <w:color w:val="4A86E8"/>
          <w:sz w:val="24"/>
          <w:szCs w:val="24"/>
          <w:lang w:eastAsia="uk-UA"/>
        </w:rPr>
        <w:t>які мають право на відтермінування подання декларацій</w:t>
      </w: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:</w:t>
      </w:r>
    </w:p>
    <w:p w:rsidR="00C9196F" w:rsidRPr="00C9196F" w:rsidRDefault="00C9196F" w:rsidP="00C9196F">
      <w:pPr>
        <w:numPr>
          <w:ilvl w:val="0"/>
          <w:numId w:val="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звільняються від обов’язку подання ПВВР, підстави для подання яких виникли з 24.02.2022 до припинення / скасування воєнного стану або іншого визначеного Законом строку 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</w:t>
      </w:r>
      <w:proofErr w:type="spellStart"/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абз</w:t>
      </w:r>
      <w:proofErr w:type="spellEnd"/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. 3 п.  2-7 розділу XIII «Прикінцеві положення</w:t>
      </w:r>
      <w:r w:rsidRPr="00C9196F">
        <w:rPr>
          <w:rFonts w:ascii="Times New Roman" w:eastAsia="Times New Roman" w:hAnsi="Times New Roman" w:cs="Times New Roman"/>
          <w:b/>
          <w:bCs/>
          <w:color w:val="999999"/>
          <w:sz w:val="24"/>
          <w:szCs w:val="24"/>
          <w:lang w:eastAsia="uk-UA"/>
        </w:rPr>
        <w:t>»</w:t>
      </w:r>
      <w:r w:rsidRPr="00C9196F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 Закону, ч. 6 ст. 52 Закону)</w:t>
      </w: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зобов’язані подавати ПВВР з моменту відновлення у них обов’язку подавати декларації.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Додатково про строки див.</w:t>
      </w:r>
      <w:r w:rsidRPr="00C919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 відповідь п. 2-3 цих Роз’яснень.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b/>
          <w:bCs/>
          <w:color w:val="FF9900"/>
          <w:sz w:val="24"/>
          <w:szCs w:val="24"/>
          <w:lang w:eastAsia="uk-UA"/>
        </w:rPr>
        <w:t>Приклад 1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01.11.2023 суб’єкт декларування, у якого член сім’ї військовослужбовець ЗСУ, відкрив валютний рахунок в установі банку-нерезидента. 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такій ситуації суб’єкт декларування не повинен подавати ПВВР, оскільки підстави його подання виникли до початку перебігу строку для подання ним декларацій, визначених ч. 14 ст. 45 Закону. 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b/>
          <w:bCs/>
          <w:color w:val="FF9900"/>
          <w:sz w:val="24"/>
          <w:szCs w:val="24"/>
          <w:lang w:eastAsia="uk-UA"/>
        </w:rPr>
        <w:t>Приклад 2</w:t>
      </w:r>
    </w:p>
    <w:p w:rsidR="00C9196F" w:rsidRPr="00C9196F" w:rsidRDefault="00C9196F" w:rsidP="00C919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21.09.2023 суб’єкт декларування відкрив валютний рахунок в установі банку-нерезидента. У такому випадку ПВВР не подається, оскільки відкриття рахунку в установі банку-нерезидента відбулося в період з 24.02.2022 до 11.10.2023 включно.</w:t>
      </w:r>
    </w:p>
    <w:p w:rsidR="00C9196F" w:rsidRPr="00C9196F" w:rsidRDefault="00C9196F" w:rsidP="00C9196F">
      <w:pPr>
        <w:spacing w:after="0" w:line="240" w:lineRule="auto"/>
        <w:ind w:left="3600"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noProof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drawing>
          <wp:inline distT="0" distB="0" distL="0" distR="0">
            <wp:extent cx="4210050" cy="4210050"/>
            <wp:effectExtent l="0" t="0" r="0" b="0"/>
            <wp:docPr id="1" name="Рисунок 1" descr="https://lh7-us.googleusercontent.com/uSriStKASTLI3jqjs1GGRPQUSdb5md0noOCcXoNvACmd7dWVdXK9FaGhxM-MiznGZ_WZdZt6Ei_-Dxuf65NrFhDRpsOHrAdF8klODC4zz7CyhaHrt8SW9KZkozJxBOHjrW5n5bg9vYJSnssI3z99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uSriStKASTLI3jqjs1GGRPQUSdb5md0noOCcXoNvACmd7dWVdXK9FaGhxM-MiznGZ_WZdZt6Ei_-Dxuf65NrFhDRpsOHrAdF8klODC4zz7CyhaHrt8SW9KZkozJxBOHjrW5n5bg9vYJSnssI3z99kw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6F" w:rsidRPr="00C9196F" w:rsidRDefault="00C9196F" w:rsidP="00C9196F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C9196F" w:rsidRPr="00C9196F" w:rsidRDefault="00C9196F" w:rsidP="00C9196F">
      <w:pPr>
        <w:spacing w:before="100" w:beforeAutospacing="1" w:after="100" w:afterAutospacing="1" w:line="360" w:lineRule="atLeast"/>
        <w:ind w:firstLine="4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9196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bookmarkStart w:id="0" w:name="_GoBack"/>
      <w:bookmarkEnd w:id="0"/>
    </w:p>
    <w:sectPr w:rsidR="00C9196F" w:rsidRPr="00C9196F" w:rsidSect="00222D1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kraineHead">
    <w:altName w:val="Times New Roman"/>
    <w:panose1 w:val="00000000000000000000"/>
    <w:charset w:val="00"/>
    <w:family w:val="roman"/>
    <w:notTrueType/>
    <w:pitch w:val="default"/>
  </w:font>
  <w:font w:name="e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4C9A"/>
    <w:multiLevelType w:val="multilevel"/>
    <w:tmpl w:val="CE08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43F1C"/>
    <w:multiLevelType w:val="multilevel"/>
    <w:tmpl w:val="CE261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B480F"/>
    <w:multiLevelType w:val="multilevel"/>
    <w:tmpl w:val="4928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58"/>
    <w:rsid w:val="000C176B"/>
    <w:rsid w:val="00222D11"/>
    <w:rsid w:val="00A46B2E"/>
    <w:rsid w:val="00C84B58"/>
    <w:rsid w:val="00C9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0F6D7A-9171-4425-93A8-5FE8D073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1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9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C9196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9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-date">
    <w:name w:val="text-date"/>
    <w:basedOn w:val="a0"/>
    <w:rsid w:val="00C9196F"/>
  </w:style>
  <w:style w:type="character" w:customStyle="1" w:styleId="text-valid">
    <w:name w:val="text-valid"/>
    <w:basedOn w:val="a0"/>
    <w:rsid w:val="00C9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16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858351936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325738999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20886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90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2785756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495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21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52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82176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8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803738155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468013428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24366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48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63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88383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4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3604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8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594827777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591747418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14740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28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52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681020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97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67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48734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1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768624684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674386516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8985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5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175240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05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4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9386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767694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2038653612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0784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39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713932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98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66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77348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8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183857064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494177778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82818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673393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3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83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16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27036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26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137766688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890602214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13782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87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73273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2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7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888938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7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506021966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89664290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8454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64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016569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99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52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99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27030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34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1234505715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339578089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55887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12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88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210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1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36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976833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nazk.gov.ua/4765/" TargetMode="External"/><Relationship Id="rId13" Type="http://schemas.openxmlformats.org/officeDocument/2006/relationships/hyperlink" Target="https://wiki.nazk.gov.ua/616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.nazk.gov.ua/6165/" TargetMode="External"/><Relationship Id="rId12" Type="http://schemas.openxmlformats.org/officeDocument/2006/relationships/hyperlink" Target="https://wiki.nazk.gov.ua/6166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iki.nazk.gov.ua/4763/" TargetMode="External"/><Relationship Id="rId11" Type="http://schemas.openxmlformats.org/officeDocument/2006/relationships/hyperlink" Target="https://wiki.nazk.gov.ua/4771/" TargetMode="External"/><Relationship Id="rId5" Type="http://schemas.openxmlformats.org/officeDocument/2006/relationships/hyperlink" Target="https://wiki.nazk.gov.ua/0284/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wiki.nazk.gov.ua/47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.nazk.gov.ua/4767/" TargetMode="External"/><Relationship Id="rId14" Type="http://schemas.openxmlformats.org/officeDocument/2006/relationships/hyperlink" Target="https://wiki.nazk.gov.ua/6168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5375</Words>
  <Characters>3064</Characters>
  <Application>Microsoft Office Word</Application>
  <DocSecurity>0</DocSecurity>
  <Lines>25</Lines>
  <Paragraphs>16</Paragraphs>
  <ScaleCrop>false</ScaleCrop>
  <Company>Hewlett-Packard Company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Юровська</dc:creator>
  <cp:keywords/>
  <dc:description/>
  <cp:lastModifiedBy>Администратор</cp:lastModifiedBy>
  <cp:revision>4</cp:revision>
  <dcterms:created xsi:type="dcterms:W3CDTF">2023-11-14T08:58:00Z</dcterms:created>
  <dcterms:modified xsi:type="dcterms:W3CDTF">2023-11-01T03:41:00Z</dcterms:modified>
</cp:coreProperties>
</file>